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CFB" w:rsidRDefault="00200B45" w:rsidP="00E103A0">
      <w:pPr>
        <w:pStyle w:val="Header"/>
        <w:tabs>
          <w:tab w:val="left" w:pos="8040"/>
        </w:tabs>
        <w:spacing w:line="280" w:lineRule="exact"/>
        <w:jc w:val="both"/>
        <w:rPr>
          <w:sz w:val="24"/>
          <w:lang w:eastAsia="zh-CN"/>
        </w:rPr>
      </w:pPr>
      <w:bookmarkStart w:id="0" w:name="OLE_LINK64"/>
      <w:bookmarkStart w:id="1" w:name="_Ref399006623"/>
      <w:bookmarkStart w:id="2" w:name="_Toc92513360"/>
      <w:r>
        <w:rPr>
          <w:sz w:val="24"/>
          <w:lang w:eastAsia="zh-CN"/>
        </w:rPr>
        <w:t>3GPP TSG-RAN WG4 Meeting #</w:t>
      </w:r>
      <w:r w:rsidR="001E1CFB">
        <w:rPr>
          <w:sz w:val="24"/>
          <w:lang w:eastAsia="zh-CN"/>
        </w:rPr>
        <w:t>10</w:t>
      </w:r>
      <w:r>
        <w:rPr>
          <w:sz w:val="24"/>
          <w:lang w:eastAsia="zh-CN"/>
        </w:rPr>
        <w:t>6</w:t>
      </w:r>
      <w:r w:rsidR="001E1CFB">
        <w:rPr>
          <w:sz w:val="24"/>
          <w:lang w:eastAsia="zh-CN"/>
        </w:rPr>
        <w:t xml:space="preserve">                              </w:t>
      </w:r>
      <w:r w:rsidR="00E103A0" w:rsidRPr="00E103A0">
        <w:rPr>
          <w:sz w:val="24"/>
          <w:lang w:eastAsia="zh-CN"/>
        </w:rPr>
        <w:t>R4-2302495</w:t>
      </w:r>
    </w:p>
    <w:p w:rsidR="00BB1FFE" w:rsidRPr="002B55F8" w:rsidRDefault="00386ACE" w:rsidP="005948B1">
      <w:pPr>
        <w:pStyle w:val="Header"/>
        <w:tabs>
          <w:tab w:val="left" w:pos="8040"/>
        </w:tabs>
        <w:spacing w:line="280" w:lineRule="exact"/>
        <w:jc w:val="both"/>
        <w:rPr>
          <w:rFonts w:cs="Arial"/>
          <w:sz w:val="24"/>
          <w:szCs w:val="24"/>
        </w:rPr>
      </w:pPr>
      <w:r>
        <w:rPr>
          <w:sz w:val="24"/>
          <w:lang w:eastAsia="zh-CN"/>
        </w:rPr>
        <w:t>Athens, Greece</w:t>
      </w:r>
      <w:bookmarkStart w:id="3" w:name="_GoBack"/>
      <w:bookmarkEnd w:id="3"/>
      <w:r w:rsidR="001E1CFB">
        <w:rPr>
          <w:sz w:val="24"/>
          <w:lang w:eastAsia="zh-CN"/>
        </w:rPr>
        <w:t xml:space="preserve">, </w:t>
      </w:r>
      <w:r w:rsidR="00200B45">
        <w:rPr>
          <w:sz w:val="24"/>
          <w:lang w:eastAsia="zh-CN"/>
        </w:rPr>
        <w:t>27 February</w:t>
      </w:r>
      <w:r w:rsidR="001E1CFB">
        <w:rPr>
          <w:sz w:val="24"/>
          <w:lang w:eastAsia="zh-CN"/>
        </w:rPr>
        <w:t xml:space="preserve">– </w:t>
      </w:r>
      <w:r w:rsidR="00200B45">
        <w:rPr>
          <w:sz w:val="24"/>
          <w:lang w:eastAsia="zh-CN"/>
        </w:rPr>
        <w:t>3</w:t>
      </w:r>
      <w:r w:rsidR="001E1CFB">
        <w:rPr>
          <w:sz w:val="24"/>
          <w:lang w:eastAsia="zh-CN"/>
        </w:rPr>
        <w:t xml:space="preserve"> </w:t>
      </w:r>
      <w:r w:rsidR="00200B45">
        <w:rPr>
          <w:sz w:val="24"/>
          <w:lang w:eastAsia="zh-CN"/>
        </w:rPr>
        <w:t>March</w:t>
      </w:r>
      <w:r w:rsidR="001E1CFB">
        <w:rPr>
          <w:sz w:val="24"/>
          <w:lang w:eastAsia="zh-CN"/>
        </w:rPr>
        <w:t>, 202</w:t>
      </w:r>
      <w:r w:rsidR="00200B45">
        <w:rPr>
          <w:sz w:val="24"/>
          <w:lang w:eastAsia="zh-CN"/>
        </w:rPr>
        <w:t>3</w:t>
      </w:r>
    </w:p>
    <w:bookmarkEnd w:id="0"/>
    <w:p w:rsidR="005929A6" w:rsidRPr="00BB1FFE" w:rsidRDefault="005929A6" w:rsidP="005948B1">
      <w:pPr>
        <w:tabs>
          <w:tab w:val="left" w:pos="1985"/>
        </w:tabs>
        <w:spacing w:after="100" w:afterAutospacing="1"/>
        <w:jc w:val="both"/>
        <w:rPr>
          <w:b/>
          <w:noProof/>
          <w:sz w:val="24"/>
        </w:rPr>
      </w:pPr>
    </w:p>
    <w:p w:rsidR="005929A6" w:rsidRPr="005B4D3C" w:rsidRDefault="005929A6" w:rsidP="005948B1">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xml:space="preserve">, </w:t>
      </w:r>
      <w:proofErr w:type="spellStart"/>
      <w:r w:rsidR="005B4D3C">
        <w:rPr>
          <w:rFonts w:ascii="Arial" w:eastAsia="SimSun" w:hAnsi="Arial" w:cs="Arial" w:hint="eastAsia"/>
          <w:sz w:val="22"/>
          <w:lang w:eastAsia="zh-CN"/>
        </w:rPr>
        <w:t>Hi</w:t>
      </w:r>
      <w:r w:rsidR="00D161E1">
        <w:rPr>
          <w:rFonts w:ascii="Arial" w:eastAsia="SimSun" w:hAnsi="Arial" w:cs="Arial"/>
          <w:sz w:val="22"/>
          <w:lang w:eastAsia="zh-CN"/>
        </w:rPr>
        <w:t>S</w:t>
      </w:r>
      <w:r w:rsidR="005B4D3C">
        <w:rPr>
          <w:rFonts w:ascii="Arial" w:eastAsia="SimSun" w:hAnsi="Arial" w:cs="Arial" w:hint="eastAsia"/>
          <w:sz w:val="22"/>
          <w:lang w:eastAsia="zh-CN"/>
        </w:rPr>
        <w:t>ilicon</w:t>
      </w:r>
      <w:proofErr w:type="spellEnd"/>
    </w:p>
    <w:p w:rsidR="005929A6" w:rsidRPr="006C181B" w:rsidRDefault="005929A6" w:rsidP="00E103A0">
      <w:pPr>
        <w:ind w:left="1985" w:hanging="1985"/>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103A0">
        <w:rPr>
          <w:rFonts w:ascii="Arial" w:hAnsi="Arial" w:cs="Arial"/>
          <w:sz w:val="22"/>
        </w:rPr>
        <w:t>MPR E</w:t>
      </w:r>
      <w:r w:rsidR="00CF0FB3">
        <w:rPr>
          <w:rFonts w:ascii="Arial" w:hAnsi="Arial" w:cs="Arial"/>
          <w:sz w:val="22"/>
        </w:rPr>
        <w:t xml:space="preserve">valuation for </w:t>
      </w:r>
      <w:r w:rsidR="00D032C2">
        <w:rPr>
          <w:rFonts w:ascii="Arial" w:hAnsi="Arial" w:cs="Arial"/>
          <w:sz w:val="22"/>
        </w:rPr>
        <w:t>PC3 UEs LTE</w:t>
      </w:r>
      <w:r w:rsidR="00CF0FB3">
        <w:rPr>
          <w:rFonts w:ascii="Arial" w:hAnsi="Arial" w:cs="Arial"/>
          <w:sz w:val="22"/>
        </w:rPr>
        <w:t xml:space="preserve"> </w:t>
      </w:r>
      <w:r w:rsidR="00E103A0">
        <w:rPr>
          <w:rFonts w:ascii="Arial" w:hAnsi="Arial" w:cs="Arial"/>
          <w:sz w:val="22"/>
        </w:rPr>
        <w:t>Intra-B</w:t>
      </w:r>
      <w:r w:rsidR="00D032C2">
        <w:rPr>
          <w:rFonts w:ascii="Arial" w:hAnsi="Arial" w:cs="Arial"/>
          <w:sz w:val="22"/>
        </w:rPr>
        <w:t xml:space="preserve">and </w:t>
      </w:r>
      <w:r w:rsidR="00CF0FB3">
        <w:rPr>
          <w:rFonts w:ascii="Arial" w:hAnsi="Arial" w:cs="Arial"/>
          <w:sz w:val="22"/>
        </w:rPr>
        <w:t xml:space="preserve">NC CA with </w:t>
      </w:r>
      <w:r w:rsidR="00E103A0">
        <w:rPr>
          <w:rFonts w:ascii="Arial" w:hAnsi="Arial" w:cs="Arial"/>
          <w:sz w:val="22"/>
        </w:rPr>
        <w:t>Frequency Separation H</w:t>
      </w:r>
      <w:r w:rsidR="00CF0FB3">
        <w:rPr>
          <w:rFonts w:ascii="Arial" w:hAnsi="Arial" w:cs="Arial"/>
          <w:sz w:val="22"/>
        </w:rPr>
        <w:t>igher than 35MHz</w:t>
      </w:r>
    </w:p>
    <w:p w:rsidR="005929A6" w:rsidRPr="001E4ACC" w:rsidRDefault="005929A6" w:rsidP="005948B1">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2053C">
        <w:rPr>
          <w:rFonts w:ascii="Arial" w:hAnsi="Arial" w:cs="Arial"/>
          <w:sz w:val="22"/>
        </w:rPr>
        <w:t>10</w:t>
      </w:r>
      <w:r w:rsidR="00784373">
        <w:rPr>
          <w:rFonts w:ascii="Arial" w:hAnsi="Arial" w:cs="Arial"/>
          <w:sz w:val="22"/>
        </w:rPr>
        <w:t>.</w:t>
      </w:r>
      <w:r w:rsidR="00E2053C">
        <w:rPr>
          <w:rFonts w:ascii="Arial" w:hAnsi="Arial" w:cs="Arial"/>
          <w:sz w:val="22"/>
        </w:rPr>
        <w:t>7</w:t>
      </w:r>
      <w:r w:rsidR="00784373">
        <w:rPr>
          <w:rFonts w:ascii="Arial" w:hAnsi="Arial" w:cs="Arial"/>
          <w:sz w:val="22"/>
        </w:rPr>
        <w:t>.2</w:t>
      </w:r>
    </w:p>
    <w:p w:rsidR="005929A6" w:rsidRPr="007E72E2" w:rsidRDefault="005929A6" w:rsidP="00386ACE">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386ACE">
        <w:rPr>
          <w:rFonts w:ascii="Arial" w:eastAsia="SimSun" w:hAnsi="Arial" w:cs="Arial"/>
          <w:sz w:val="22"/>
          <w:lang w:eastAsia="zh-CN"/>
        </w:rPr>
        <w:t>Discussion</w:t>
      </w:r>
    </w:p>
    <w:bookmarkEnd w:id="1"/>
    <w:bookmarkEnd w:id="2"/>
    <w:p w:rsidR="00FC0076" w:rsidRPr="00B16EEF" w:rsidRDefault="007726F1" w:rsidP="005948B1">
      <w:pPr>
        <w:pStyle w:val="Heading1"/>
        <w:numPr>
          <w:ilvl w:val="0"/>
          <w:numId w:val="0"/>
        </w:numPr>
        <w:jc w:val="both"/>
      </w:pPr>
      <w:r w:rsidRPr="00B16EEF">
        <w:t>Introduction</w:t>
      </w:r>
    </w:p>
    <w:p w:rsidR="00A93CB5" w:rsidRDefault="00471C18" w:rsidP="00747D44">
      <w:pPr>
        <w:jc w:val="both"/>
      </w:pPr>
      <w:r>
        <w:t>In the current version of the LTE spe</w:t>
      </w:r>
      <w:r w:rsidR="00B96B15">
        <w:t>cification</w:t>
      </w:r>
      <w:r w:rsidR="00675644">
        <w:t xml:space="preserve">, the MPR is </w:t>
      </w:r>
      <w:r w:rsidR="00D032C2">
        <w:t>given for</w:t>
      </w:r>
      <w:r w:rsidR="00675644">
        <w:t xml:space="preserve"> a </w:t>
      </w:r>
      <w:r w:rsidR="00B96B15">
        <w:t xml:space="preserve">maximum frequency </w:t>
      </w:r>
      <w:r w:rsidR="00675644">
        <w:t>gap (</w:t>
      </w:r>
      <w:proofErr w:type="spellStart"/>
      <w:r w:rsidR="00675644">
        <w:t>W</w:t>
      </w:r>
      <w:r w:rsidR="00675644" w:rsidRPr="00675644">
        <w:rPr>
          <w:vertAlign w:val="subscript"/>
        </w:rPr>
        <w:t>gap</w:t>
      </w:r>
      <w:proofErr w:type="spellEnd"/>
      <w:r w:rsidR="00675644">
        <w:t>) of 35MHz</w:t>
      </w:r>
      <w:r w:rsidR="00B96B15">
        <w:t xml:space="preserve"> between the two component </w:t>
      </w:r>
      <w:r w:rsidR="00675644">
        <w:t xml:space="preserve">carriers in an intra-band NC CA configuration. </w:t>
      </w:r>
      <w:r w:rsidR="00747D44">
        <w:t xml:space="preserve">An </w:t>
      </w:r>
      <w:r w:rsidR="00A93CB5">
        <w:t>excerpt</w:t>
      </w:r>
      <w:r w:rsidR="00747D44">
        <w:t xml:space="preserve"> from section 6.2.3A of 36.101 </w:t>
      </w:r>
      <w:r w:rsidR="00A93CB5">
        <w:t>shows, the</w:t>
      </w:r>
      <w:r w:rsidR="00747D44">
        <w:t xml:space="preserve"> MPR values for</w:t>
      </w:r>
      <w:r w:rsidR="00A93CB5">
        <w:t xml:space="preserve"> </w:t>
      </w:r>
      <w:proofErr w:type="spellStart"/>
      <w:r w:rsidR="00A93CB5">
        <w:t>W</w:t>
      </w:r>
      <w:r w:rsidR="00A93CB5" w:rsidRPr="00A93CB5">
        <w:rPr>
          <w:vertAlign w:val="subscript"/>
        </w:rPr>
        <w:t>gap</w:t>
      </w:r>
      <w:proofErr w:type="spellEnd"/>
      <w:r w:rsidR="00747D44">
        <w:t xml:space="preserve"> &gt;35MHz are yet to be defined:</w:t>
      </w:r>
    </w:p>
    <w:tbl>
      <w:tblPr>
        <w:tblStyle w:val="TableGrid"/>
        <w:tblW w:w="0" w:type="auto"/>
        <w:tblLook w:val="04A0" w:firstRow="1" w:lastRow="0" w:firstColumn="1" w:lastColumn="0" w:noHBand="0" w:noVBand="1"/>
      </w:tblPr>
      <w:tblGrid>
        <w:gridCol w:w="9631"/>
      </w:tblGrid>
      <w:tr w:rsidR="00A93CB5" w:rsidTr="00A93CB5">
        <w:tc>
          <w:tcPr>
            <w:tcW w:w="9631" w:type="dxa"/>
          </w:tcPr>
          <w:p w:rsidR="00A93CB5" w:rsidRDefault="00A93CB5" w:rsidP="00A93CB5">
            <w:pPr>
              <w:rPr>
                <w:lang w:eastAsia="en-GB"/>
              </w:rPr>
            </w:pPr>
            <w:r>
              <w:t>For intra-band non-contiguous carrier aggregation with two uplink carriers MPR is specified for E-UTRA CA configurations with a maximum possible W</w:t>
            </w:r>
            <w:r>
              <w:rPr>
                <w:vertAlign w:val="subscript"/>
              </w:rPr>
              <w:t>GAP</w:t>
            </w:r>
            <w:r>
              <w:t xml:space="preserve"> ≤ 35 MHz; the allowed MPR is</w:t>
            </w:r>
          </w:p>
          <w:p w:rsidR="00A93CB5" w:rsidRDefault="00A93CB5" w:rsidP="00A93CB5">
            <w:pPr>
              <w:pStyle w:val="EQ"/>
              <w:jc w:val="center"/>
            </w:pPr>
            <w:r>
              <w:t>MPR = CEIL {M</w:t>
            </w:r>
            <w:r>
              <w:rPr>
                <w:vertAlign w:val="subscript"/>
              </w:rPr>
              <w:t>N</w:t>
            </w:r>
            <w:r>
              <w:t>, 0.5}</w:t>
            </w:r>
          </w:p>
          <w:p w:rsidR="00A93CB5" w:rsidRDefault="00A93CB5" w:rsidP="00A93CB5">
            <w:r>
              <w:t>where M</w:t>
            </w:r>
            <w:r>
              <w:rPr>
                <w:vertAlign w:val="subscript"/>
              </w:rPr>
              <w:t xml:space="preserve">N </w:t>
            </w:r>
            <w:r>
              <w:t>is defined as follows</w:t>
            </w:r>
          </w:p>
          <w:p w:rsidR="00A93CB5" w:rsidRDefault="00A93CB5" w:rsidP="00A93CB5">
            <w:pPr>
              <w:ind w:firstLine="3261"/>
            </w:pPr>
            <w:r>
              <w:t>M</w:t>
            </w:r>
            <w:r>
              <w:rPr>
                <w:vertAlign w:val="subscript"/>
              </w:rPr>
              <w:t>N</w:t>
            </w:r>
            <w:r>
              <w:t>=</w:t>
            </w:r>
            <w:r>
              <w:tab/>
            </w:r>
            <w:r>
              <w:tab/>
              <w:t>-0.125 N + 18.25</w:t>
            </w:r>
            <w:r>
              <w:tab/>
            </w:r>
            <w:r>
              <w:tab/>
              <w:t>; 2 ≤ N ≤ 50</w:t>
            </w:r>
          </w:p>
          <w:p w:rsidR="00A93CB5" w:rsidRDefault="00A93CB5" w:rsidP="00A93CB5">
            <w:pPr>
              <w:ind w:firstLine="3969"/>
            </w:pPr>
            <w:r>
              <w:t>-0.0333 N + 13.67</w:t>
            </w:r>
            <w:r>
              <w:tab/>
            </w:r>
            <w:r>
              <w:tab/>
              <w:t>; 50 &lt; N ≤ 200</w:t>
            </w:r>
          </w:p>
          <w:p w:rsidR="00A93CB5" w:rsidRDefault="00A93CB5" w:rsidP="00747D44">
            <w:proofErr w:type="gramStart"/>
            <w:r>
              <w:t>where</w:t>
            </w:r>
            <w:proofErr w:type="gramEnd"/>
            <w:r>
              <w:t xml:space="preserve"> N= </w:t>
            </w:r>
            <w:proofErr w:type="spellStart"/>
            <w:r>
              <w:t>N</w:t>
            </w:r>
            <w:r>
              <w:rPr>
                <w:vertAlign w:val="subscript"/>
              </w:rPr>
              <w:t>RB_alloc</w:t>
            </w:r>
            <w:proofErr w:type="spellEnd"/>
            <w:r>
              <w:t xml:space="preserve"> is the number of allocated resource blocks. Clause 6.2.3 does not apply in addition. E-UTRA CA configurations with a maximum possible </w:t>
            </w:r>
            <w:proofErr w:type="spellStart"/>
            <w:r>
              <w:t>W</w:t>
            </w:r>
            <w:r>
              <w:rPr>
                <w:vertAlign w:val="subscript"/>
              </w:rPr>
              <w:t>gap</w:t>
            </w:r>
            <w:proofErr w:type="spellEnd"/>
            <w:r>
              <w:t xml:space="preserve"> &gt; 35 MHz and their corresponding MPR are intended to form part of a later release.</w:t>
            </w:r>
          </w:p>
        </w:tc>
      </w:tr>
    </w:tbl>
    <w:p w:rsidR="00675644" w:rsidRDefault="00675644" w:rsidP="00D032C2">
      <w:pPr>
        <w:jc w:val="both"/>
      </w:pPr>
      <w:r>
        <w:t xml:space="preserve">The need to use higher </w:t>
      </w:r>
      <w:proofErr w:type="spellStart"/>
      <w:r>
        <w:t>W</w:t>
      </w:r>
      <w:r w:rsidRPr="00675644">
        <w:rPr>
          <w:vertAlign w:val="subscript"/>
        </w:rPr>
        <w:t>gap</w:t>
      </w:r>
      <w:proofErr w:type="spellEnd"/>
      <w:r>
        <w:t xml:space="preserve"> was raised in RAN96 meeting and its corresponding work item was approved</w:t>
      </w:r>
      <w:r w:rsidR="009851AA">
        <w:t xml:space="preserve"> </w:t>
      </w:r>
      <w:r w:rsidR="009851AA">
        <w:fldChar w:fldCharType="begin"/>
      </w:r>
      <w:r w:rsidR="009851AA">
        <w:instrText xml:space="preserve"> ADDIN ZOTERO_ITEM CSL_CITATION {"citationID":"swD0x2zE","properties":{"formattedCitation":"[1]","plainCitation":"[1]","noteIndex":0},"citationItems":[{"id":812,"uris":["http://zotero.org/users/1349634/items/LUGVPJTU"],"itemData":{"id":812,"type":"document","title":"RP-223511, New WID: Maximum Power Reduction Requirements for LTE Intra-band Carrier Aggregation with a Component Carrier gap larger than 35 MHz, Vodafone"}}],"schema":"https://github.com/citation-style-language/schema/raw/master/csl-citation.json"} </w:instrText>
      </w:r>
      <w:r w:rsidR="009851AA">
        <w:fldChar w:fldCharType="separate"/>
      </w:r>
      <w:r w:rsidR="009851AA" w:rsidRPr="009851AA">
        <w:t>[1]</w:t>
      </w:r>
      <w:r w:rsidR="009851AA">
        <w:fldChar w:fldCharType="end"/>
      </w:r>
      <w:r w:rsidR="006E6FFC">
        <w:t xml:space="preserve"> with the following objectives:</w:t>
      </w:r>
    </w:p>
    <w:tbl>
      <w:tblPr>
        <w:tblStyle w:val="TableGrid"/>
        <w:tblW w:w="0" w:type="auto"/>
        <w:tblLook w:val="04A0" w:firstRow="1" w:lastRow="0" w:firstColumn="1" w:lastColumn="0" w:noHBand="0" w:noVBand="1"/>
      </w:tblPr>
      <w:tblGrid>
        <w:gridCol w:w="9631"/>
      </w:tblGrid>
      <w:tr w:rsidR="00924843" w:rsidTr="00924843">
        <w:tc>
          <w:tcPr>
            <w:tcW w:w="9631" w:type="dxa"/>
          </w:tcPr>
          <w:p w:rsidR="00924843" w:rsidRDefault="00924843" w:rsidP="005948B1">
            <w:pPr>
              <w:spacing w:after="60"/>
              <w:jc w:val="both"/>
              <w:rPr>
                <w:iCs/>
                <w:lang w:eastAsia="en-GB"/>
              </w:rPr>
            </w:pPr>
            <w:r>
              <w:rPr>
                <w:iCs/>
              </w:rPr>
              <w:t>Specify MPR requirements for intra-band non-contiguous CA with a sub-band gap larger than 35 MHz</w:t>
            </w:r>
          </w:p>
          <w:p w:rsidR="00924843" w:rsidRDefault="00924843" w:rsidP="005948B1">
            <w:pPr>
              <w:spacing w:after="60"/>
              <w:jc w:val="both"/>
              <w:rPr>
                <w:iCs/>
              </w:rPr>
            </w:pPr>
            <w:r>
              <w:rPr>
                <w:iCs/>
              </w:rPr>
              <w:tab/>
              <w:t>○ Use CA_41A-41A with a 90 MHz gap as the example band</w:t>
            </w:r>
          </w:p>
          <w:p w:rsidR="00924843" w:rsidRDefault="00924843" w:rsidP="005948B1">
            <w:pPr>
              <w:spacing w:after="60"/>
              <w:jc w:val="both"/>
              <w:rPr>
                <w:iCs/>
              </w:rPr>
            </w:pPr>
            <w:r>
              <w:rPr>
                <w:iCs/>
              </w:rPr>
              <w:tab/>
              <w:t>○ Assume the 2 PA UE architecture with 2 LO</w:t>
            </w:r>
          </w:p>
          <w:p w:rsidR="00924843" w:rsidRDefault="00924843" w:rsidP="005948B1">
            <w:pPr>
              <w:spacing w:after="60"/>
              <w:jc w:val="both"/>
              <w:rPr>
                <w:iCs/>
              </w:rPr>
            </w:pPr>
            <w:r>
              <w:rPr>
                <w:iCs/>
              </w:rPr>
              <w:tab/>
              <w:t>○ Assume Power class 3</w:t>
            </w:r>
          </w:p>
          <w:p w:rsidR="00924843" w:rsidRDefault="00924843" w:rsidP="005948B1">
            <w:pPr>
              <w:spacing w:after="60"/>
              <w:jc w:val="both"/>
              <w:rPr>
                <w:iCs/>
              </w:rPr>
            </w:pPr>
            <w:r>
              <w:rPr>
                <w:iCs/>
              </w:rPr>
              <w:tab/>
              <w:t>○ Assume MCS up to 256QAM</w:t>
            </w:r>
          </w:p>
          <w:p w:rsidR="00924843" w:rsidRDefault="00924843" w:rsidP="005948B1">
            <w:pPr>
              <w:spacing w:after="60"/>
              <w:jc w:val="both"/>
              <w:rPr>
                <w:iCs/>
              </w:rPr>
            </w:pPr>
            <w:r>
              <w:rPr>
                <w:iCs/>
              </w:rPr>
              <w:tab/>
              <w:t>○ The requirements apply the following CA configurations and bandwidth combinations</w:t>
            </w:r>
          </w:p>
          <w:p w:rsidR="00924843" w:rsidRDefault="00924843" w:rsidP="005948B1">
            <w:pPr>
              <w:spacing w:after="60"/>
              <w:jc w:val="both"/>
              <w:rPr>
                <w:iCs/>
              </w:rPr>
            </w:pPr>
            <w:r>
              <w:rPr>
                <w:rFonts w:ascii="Segoe UI Emoji" w:hAnsi="Segoe UI Emoji" w:cs="Segoe UI Emoji"/>
                <w:iCs/>
              </w:rPr>
              <w:tab/>
              <w:t xml:space="preserve">   ◾</w:t>
            </w:r>
            <w:r>
              <w:rPr>
                <w:iCs/>
              </w:rPr>
              <w:t xml:space="preserve"> Intra-band non-contiguous CA with two sub-blocks</w:t>
            </w:r>
          </w:p>
          <w:p w:rsidR="00924843" w:rsidRDefault="00924843" w:rsidP="005948B1">
            <w:pPr>
              <w:spacing w:after="60"/>
              <w:jc w:val="both"/>
              <w:rPr>
                <w:iCs/>
              </w:rPr>
            </w:pPr>
            <w:r>
              <w:rPr>
                <w:rFonts w:ascii="Segoe UI Emoji" w:hAnsi="Segoe UI Emoji" w:cs="Segoe UI Emoji"/>
                <w:iCs/>
              </w:rPr>
              <w:tab/>
              <w:t xml:space="preserve">   ◾</w:t>
            </w:r>
            <w:r>
              <w:rPr>
                <w:iCs/>
              </w:rPr>
              <w:t xml:space="preserve"> Gap between two sub-blocks is within the range larger than 35MHz and smaller than or equal to 90MHz</w:t>
            </w:r>
          </w:p>
          <w:p w:rsidR="00924843" w:rsidRPr="00924843" w:rsidRDefault="00924843" w:rsidP="005948B1">
            <w:pPr>
              <w:spacing w:after="60"/>
              <w:jc w:val="both"/>
              <w:rPr>
                <w:iCs/>
              </w:rPr>
            </w:pPr>
            <w:r>
              <w:rPr>
                <w:iCs/>
              </w:rPr>
              <w:t>● Identify and specify the capability signalling, if needed.</w:t>
            </w:r>
          </w:p>
        </w:tc>
      </w:tr>
    </w:tbl>
    <w:p w:rsidR="00770BF5" w:rsidRPr="00B16EEF" w:rsidRDefault="00770BF5" w:rsidP="005948B1">
      <w:pPr>
        <w:pStyle w:val="Heading1"/>
        <w:numPr>
          <w:ilvl w:val="0"/>
          <w:numId w:val="0"/>
        </w:numPr>
        <w:jc w:val="both"/>
      </w:pPr>
      <w:r>
        <w:t>Discussion</w:t>
      </w:r>
    </w:p>
    <w:p w:rsidR="00770BF5" w:rsidRDefault="00770BF5" w:rsidP="00D032C2">
      <w:pPr>
        <w:jc w:val="both"/>
        <w:rPr>
          <w:lang w:val="en-CA"/>
        </w:rPr>
      </w:pPr>
      <w:r>
        <w:rPr>
          <w:lang w:val="en-CA"/>
        </w:rPr>
        <w:t>Multiple points should be remarked, base</w:t>
      </w:r>
      <w:r w:rsidR="005822F8">
        <w:rPr>
          <w:lang w:val="en-CA"/>
        </w:rPr>
        <w:t>d on the WI objectives. First, t</w:t>
      </w:r>
      <w:r>
        <w:rPr>
          <w:lang w:val="en-CA"/>
        </w:rPr>
        <w:t>he context of this WI is about an architecture where 2 P</w:t>
      </w:r>
      <w:r w:rsidR="005822F8">
        <w:rPr>
          <w:lang w:val="en-CA"/>
        </w:rPr>
        <w:t>A</w:t>
      </w:r>
      <w:r>
        <w:rPr>
          <w:lang w:val="en-CA"/>
        </w:rPr>
        <w:t>s and 2</w:t>
      </w:r>
      <w:r w:rsidR="005822F8">
        <w:rPr>
          <w:lang w:val="en-CA"/>
        </w:rPr>
        <w:t xml:space="preserve"> </w:t>
      </w:r>
      <w:r>
        <w:rPr>
          <w:lang w:val="en-CA"/>
        </w:rPr>
        <w:t>LOs</w:t>
      </w:r>
      <w:r w:rsidR="005822F8">
        <w:rPr>
          <w:lang w:val="en-CA"/>
        </w:rPr>
        <w:t xml:space="preserve"> are considered which is a new architecture for LTE but a </w:t>
      </w:r>
      <w:r w:rsidR="00D032C2">
        <w:rPr>
          <w:lang w:val="en-CA"/>
        </w:rPr>
        <w:t>common</w:t>
      </w:r>
      <w:r w:rsidR="005822F8">
        <w:rPr>
          <w:lang w:val="en-CA"/>
        </w:rPr>
        <w:t xml:space="preserve"> case for NR technology. In RAN4 95e,</w:t>
      </w:r>
      <w:r w:rsidR="00FF0856">
        <w:rPr>
          <w:lang w:val="en-CA"/>
        </w:rPr>
        <w:t xml:space="preserve"> </w:t>
      </w:r>
      <w:r w:rsidR="005822F8">
        <w:rPr>
          <w:lang w:val="en-CA"/>
        </w:rPr>
        <w:t>96e and 97e</w:t>
      </w:r>
      <w:r w:rsidR="00FF0856">
        <w:rPr>
          <w:lang w:val="en-CA"/>
        </w:rPr>
        <w:t xml:space="preserve"> meetings</w:t>
      </w:r>
      <w:r w:rsidR="005822F8">
        <w:rPr>
          <w:lang w:val="en-CA"/>
        </w:rPr>
        <w:t xml:space="preserve"> MPR values were discussed for the case of NR UL intra-band NC CA</w:t>
      </w:r>
      <w:r w:rsidR="00D00480">
        <w:rPr>
          <w:lang w:val="en-CA"/>
        </w:rPr>
        <w:t xml:space="preserve"> for different</w:t>
      </w:r>
      <w:r w:rsidR="00333D53">
        <w:rPr>
          <w:lang w:val="en-CA"/>
        </w:rPr>
        <w:t xml:space="preserve"> frequency separation classes (I, II, III</w:t>
      </w:r>
      <w:proofErr w:type="gramStart"/>
      <w:r w:rsidR="00333D53">
        <w:rPr>
          <w:lang w:val="en-CA"/>
        </w:rPr>
        <w:t>)</w:t>
      </w:r>
      <w:r w:rsidR="00D00480">
        <w:rPr>
          <w:lang w:val="en-CA"/>
        </w:rPr>
        <w:t xml:space="preserve"> </w:t>
      </w:r>
      <w:r w:rsidR="005822F8">
        <w:rPr>
          <w:lang w:val="en-CA"/>
        </w:rPr>
        <w:t>.</w:t>
      </w:r>
      <w:proofErr w:type="gramEnd"/>
      <w:r w:rsidR="005822F8">
        <w:rPr>
          <w:lang w:val="en-CA"/>
        </w:rPr>
        <w:t xml:space="preserve"> The discussion was concluded with </w:t>
      </w:r>
      <w:r w:rsidR="00FF0856">
        <w:rPr>
          <w:lang w:val="en-CA"/>
        </w:rPr>
        <w:t>a</w:t>
      </w:r>
      <w:r w:rsidR="009851AA">
        <w:rPr>
          <w:lang w:val="en-CA"/>
        </w:rPr>
        <w:t xml:space="preserve"> CR </w:t>
      </w:r>
      <w:r w:rsidR="009851AA">
        <w:rPr>
          <w:lang w:val="en-CA"/>
        </w:rPr>
        <w:fldChar w:fldCharType="begin"/>
      </w:r>
      <w:r w:rsidR="009851AA">
        <w:rPr>
          <w:lang w:val="en-CA"/>
        </w:rPr>
        <w:instrText xml:space="preserve"> ADDIN ZOTERO_ITEM CSL_CITATION {"citationID":"f3snAeFi","properties":{"formattedCitation":"[2]","plainCitation":"[2]","noteIndex":0},"citationItems":[{"id":813,"uris":["http://zotero.org/users/1349634/items/5R4MBPTY"],"itemData":{"id":813,"type":"document","title":"R4-2016815, CR for intra-band UL CA non-contiguous CA requirement, Huawei, HiSilicon, Nokia"}}],"schema":"https://github.com/citation-style-language/schema/raw/master/csl-citation.json"} </w:instrText>
      </w:r>
      <w:r w:rsidR="009851AA">
        <w:rPr>
          <w:lang w:val="en-CA"/>
        </w:rPr>
        <w:fldChar w:fldCharType="separate"/>
      </w:r>
      <w:r w:rsidR="009851AA" w:rsidRPr="009851AA">
        <w:t>[2]</w:t>
      </w:r>
      <w:r w:rsidR="009851AA">
        <w:rPr>
          <w:lang w:val="en-CA"/>
        </w:rPr>
        <w:fldChar w:fldCharType="end"/>
      </w:r>
      <w:r w:rsidR="0066755F">
        <w:rPr>
          <w:lang w:val="en-CA"/>
        </w:rPr>
        <w:t xml:space="preserve">. The MPR values are based on measurements since the MPR simulation using 2 PA has </w:t>
      </w:r>
      <w:r w:rsidR="00FF0856">
        <w:rPr>
          <w:lang w:val="en-CA"/>
        </w:rPr>
        <w:t>a high degree of</w:t>
      </w:r>
      <w:r w:rsidR="0066755F">
        <w:rPr>
          <w:lang w:val="en-CA"/>
        </w:rPr>
        <w:t xml:space="preserve"> complexit</w:t>
      </w:r>
      <w:r w:rsidR="00D032C2">
        <w:rPr>
          <w:lang w:val="en-CA"/>
        </w:rPr>
        <w:t>y</w:t>
      </w:r>
      <w:r w:rsidR="0066755F">
        <w:rPr>
          <w:lang w:val="en-CA"/>
        </w:rPr>
        <w:t>. Second, since this</w:t>
      </w:r>
      <w:r w:rsidR="00D032C2">
        <w:rPr>
          <w:lang w:val="en-CA"/>
        </w:rPr>
        <w:t xml:space="preserve"> is</w:t>
      </w:r>
      <w:r w:rsidR="0066755F">
        <w:rPr>
          <w:lang w:val="en-CA"/>
        </w:rPr>
        <w:t xml:space="preserve"> a new architecture, UE capabilities should be defined</w:t>
      </w:r>
      <w:r w:rsidR="00D00480">
        <w:rPr>
          <w:lang w:val="en-CA"/>
        </w:rPr>
        <w:t xml:space="preserve"> to indicate </w:t>
      </w:r>
      <w:r w:rsidR="00D032C2">
        <w:rPr>
          <w:lang w:val="en-CA"/>
        </w:rPr>
        <w:t>the use of</w:t>
      </w:r>
      <w:r w:rsidR="00D00480">
        <w:rPr>
          <w:lang w:val="en-CA"/>
        </w:rPr>
        <w:t xml:space="preserve"> 2 separate transmission chains, similar to NR case where, </w:t>
      </w:r>
      <w:proofErr w:type="spellStart"/>
      <w:r w:rsidR="00D00480" w:rsidRPr="00D00480">
        <w:rPr>
          <w:bCs/>
          <w:i/>
        </w:rPr>
        <w:t>dualPA</w:t>
      </w:r>
      <w:proofErr w:type="spellEnd"/>
      <w:r w:rsidR="00D00480" w:rsidRPr="00D00480">
        <w:rPr>
          <w:bCs/>
          <w:i/>
        </w:rPr>
        <w:t>-Architecture</w:t>
      </w:r>
      <w:r w:rsidR="00D00480">
        <w:rPr>
          <w:lang w:val="en-CA"/>
        </w:rPr>
        <w:t xml:space="preserve"> is used.</w:t>
      </w:r>
      <w:r w:rsidR="005948B1">
        <w:rPr>
          <w:lang w:val="en-CA"/>
        </w:rPr>
        <w:t xml:space="preserve"> Third, since the architecture will include only 2 different transmission </w:t>
      </w:r>
      <w:r w:rsidR="00D032C2">
        <w:rPr>
          <w:lang w:val="en-CA"/>
        </w:rPr>
        <w:t>paths</w:t>
      </w:r>
      <w:r w:rsidR="005948B1">
        <w:rPr>
          <w:lang w:val="en-CA"/>
        </w:rPr>
        <w:t>, UL MIMO cannot be used when UL intra-band NC CA is configured.</w:t>
      </w:r>
    </w:p>
    <w:p w:rsidR="00035BA0" w:rsidRPr="00035BA0" w:rsidRDefault="00035BA0" w:rsidP="005948B1">
      <w:pPr>
        <w:jc w:val="both"/>
        <w:rPr>
          <w:b/>
          <w:bCs/>
          <w:sz w:val="24"/>
          <w:szCs w:val="24"/>
          <w:lang w:val="en-CA"/>
        </w:rPr>
      </w:pPr>
      <w:r w:rsidRPr="00035BA0">
        <w:rPr>
          <w:b/>
          <w:bCs/>
          <w:sz w:val="24"/>
          <w:szCs w:val="24"/>
          <w:lang w:val="en-CA"/>
        </w:rPr>
        <w:lastRenderedPageBreak/>
        <w:t>MPR:</w:t>
      </w:r>
    </w:p>
    <w:p w:rsidR="00FF0856" w:rsidRDefault="00C7787F" w:rsidP="005948B1">
      <w:pPr>
        <w:jc w:val="both"/>
        <w:rPr>
          <w:lang w:val="en-CA"/>
        </w:rPr>
      </w:pPr>
      <w:r>
        <w:rPr>
          <w:lang w:val="en-CA"/>
        </w:rPr>
        <w:t>LTE uses</w:t>
      </w:r>
      <w:r w:rsidR="00472944">
        <w:rPr>
          <w:lang w:val="en-CA"/>
        </w:rPr>
        <w:t xml:space="preserve"> SC-FDMA </w:t>
      </w:r>
      <w:r>
        <w:rPr>
          <w:lang w:val="en-CA"/>
        </w:rPr>
        <w:t xml:space="preserve">waveform on UL, </w:t>
      </w:r>
      <w:r w:rsidR="00886C7E">
        <w:rPr>
          <w:lang w:val="en-CA"/>
        </w:rPr>
        <w:t>which is similar to DFT-s-OFDM on NR</w:t>
      </w:r>
      <w:r>
        <w:rPr>
          <w:lang w:val="en-CA"/>
        </w:rPr>
        <w:t>, hence the NR MPR value</w:t>
      </w:r>
      <w:r w:rsidR="002F23DA">
        <w:rPr>
          <w:lang w:val="en-CA"/>
        </w:rPr>
        <w:t>s</w:t>
      </w:r>
      <w:r>
        <w:rPr>
          <w:lang w:val="en-CA"/>
        </w:rPr>
        <w:t xml:space="preserve"> for UL intra-band NC CA</w:t>
      </w:r>
      <w:r w:rsidR="002F23DA">
        <w:rPr>
          <w:lang w:val="en-CA"/>
        </w:rPr>
        <w:t xml:space="preserve"> could be reused for LTE</w:t>
      </w:r>
      <w:r w:rsidR="00886C7E">
        <w:rPr>
          <w:lang w:val="en-CA"/>
        </w:rPr>
        <w:t xml:space="preserve">. </w:t>
      </w:r>
      <w:r>
        <w:rPr>
          <w:lang w:val="en-CA"/>
        </w:rPr>
        <w:t xml:space="preserve">MPR measurements are already performed for NR class I and II (20 MHz ≤ </w:t>
      </w:r>
      <w:proofErr w:type="spellStart"/>
      <w:r>
        <w:t>W</w:t>
      </w:r>
      <w:r w:rsidRPr="00675644">
        <w:rPr>
          <w:vertAlign w:val="subscript"/>
        </w:rPr>
        <w:t>gap</w:t>
      </w:r>
      <w:proofErr w:type="spellEnd"/>
      <w:r>
        <w:rPr>
          <w:vertAlign w:val="subscript"/>
        </w:rPr>
        <w:t xml:space="preserve"> </w:t>
      </w:r>
      <w:r>
        <w:t>≤ 100 MHz,</w:t>
      </w:r>
      <w:r w:rsidRPr="00C7787F">
        <w:rPr>
          <w:lang w:val="en-CA"/>
        </w:rPr>
        <w:t xml:space="preserve"> </w:t>
      </w:r>
      <w:r>
        <w:rPr>
          <w:lang w:val="en-CA"/>
        </w:rPr>
        <w:t xml:space="preserve">100 MHz &lt; </w:t>
      </w:r>
      <w:proofErr w:type="spellStart"/>
      <w:r>
        <w:t>W</w:t>
      </w:r>
      <w:r w:rsidRPr="00675644">
        <w:rPr>
          <w:vertAlign w:val="subscript"/>
        </w:rPr>
        <w:t>gap</w:t>
      </w:r>
      <w:proofErr w:type="spellEnd"/>
      <w:r>
        <w:rPr>
          <w:vertAlign w:val="subscript"/>
        </w:rPr>
        <w:t xml:space="preserve"> </w:t>
      </w:r>
      <w:r>
        <w:t>≤ 200 MHz</w:t>
      </w:r>
      <w:r>
        <w:rPr>
          <w:lang w:val="en-CA"/>
        </w:rPr>
        <w:t xml:space="preserve">) </w:t>
      </w:r>
      <w:r w:rsidR="002F23DA">
        <w:rPr>
          <w:lang w:val="en-CA"/>
        </w:rPr>
        <w:t xml:space="preserve">and a set of MPR is already specified on section </w:t>
      </w:r>
      <w:r w:rsidR="002F23DA" w:rsidRPr="001C0CC4">
        <w:t>6.2A.2.2</w:t>
      </w:r>
      <w:r w:rsidR="002F23DA">
        <w:t xml:space="preserve"> of</w:t>
      </w:r>
      <w:r w:rsidR="002F23DA">
        <w:rPr>
          <w:lang w:val="en-CA"/>
        </w:rPr>
        <w:t xml:space="preserve"> TS 38.101</w:t>
      </w:r>
      <w:r>
        <w:rPr>
          <w:lang w:val="en-CA"/>
        </w:rPr>
        <w:t>.</w:t>
      </w:r>
      <w:r w:rsidR="00D032C2">
        <w:rPr>
          <w:lang w:val="en-CA"/>
        </w:rPr>
        <w:t xml:space="preserve"> </w:t>
      </w:r>
      <w:r w:rsidR="00250E67">
        <w:rPr>
          <w:lang w:val="en-CA"/>
        </w:rPr>
        <w:t>It should be mentioned that these MPR values are valid for all modulation orders and all waveforms</w:t>
      </w:r>
      <w:r w:rsidR="00D032C2">
        <w:rPr>
          <w:lang w:val="en-CA"/>
        </w:rPr>
        <w:t xml:space="preserve"> (CP-OFDM, DFT-s-OFDM)</w:t>
      </w:r>
      <w:r w:rsidR="00250E67">
        <w:rPr>
          <w:lang w:val="en-CA"/>
        </w:rPr>
        <w:t xml:space="preserve">. </w:t>
      </w:r>
      <w:r w:rsidR="002F23DA">
        <w:rPr>
          <w:lang w:val="en-CA"/>
        </w:rPr>
        <w:t>The MPR values</w:t>
      </w:r>
      <w:r w:rsidR="007A4FA8">
        <w:rPr>
          <w:lang w:val="en-CA"/>
        </w:rPr>
        <w:t xml:space="preserve"> for UEs with 2 PC3 PAs</w:t>
      </w:r>
      <w:r w:rsidR="002F23DA">
        <w:rPr>
          <w:lang w:val="en-CA"/>
        </w:rPr>
        <w:t xml:space="preserve"> are specified with respect to the regions on which the IM3 could fall onto:</w:t>
      </w:r>
    </w:p>
    <w:p w:rsidR="002F23DA" w:rsidRDefault="002F23DA" w:rsidP="005948B1">
      <w:pPr>
        <w:pStyle w:val="ListParagraph"/>
        <w:numPr>
          <w:ilvl w:val="0"/>
          <w:numId w:val="21"/>
        </w:numPr>
        <w:ind w:firstLineChars="0"/>
        <w:jc w:val="both"/>
        <w:rPr>
          <w:rFonts w:asciiTheme="majorBidi" w:hAnsiTheme="majorBidi" w:cstheme="majorBidi"/>
          <w:sz w:val="20"/>
          <w:szCs w:val="20"/>
          <w:lang w:val="en-CA"/>
        </w:rPr>
      </w:pPr>
      <w:r w:rsidRPr="002F23DA">
        <w:rPr>
          <w:rFonts w:asciiTheme="majorBidi" w:hAnsiTheme="majorBidi" w:cstheme="majorBidi"/>
          <w:sz w:val="20"/>
          <w:szCs w:val="20"/>
          <w:lang w:val="en-CA"/>
        </w:rPr>
        <w:t>A region for SEM</w:t>
      </w:r>
      <w:r w:rsidRPr="002F23DA">
        <w:rPr>
          <w:rFonts w:asciiTheme="majorBidi" w:hAnsiTheme="majorBidi" w:cstheme="majorBidi"/>
          <w:sz w:val="20"/>
          <w:szCs w:val="20"/>
          <w:vertAlign w:val="subscript"/>
          <w:lang w:val="en-CA"/>
        </w:rPr>
        <w:t>IM3</w:t>
      </w:r>
      <w:r w:rsidRPr="002F23DA">
        <w:rPr>
          <w:rFonts w:asciiTheme="majorBidi" w:hAnsiTheme="majorBidi" w:cstheme="majorBidi"/>
          <w:sz w:val="20"/>
          <w:szCs w:val="20"/>
          <w:lang w:val="en-CA"/>
        </w:rPr>
        <w:t xml:space="preserve">= -13 </w:t>
      </w:r>
      <w:proofErr w:type="spellStart"/>
      <w:r w:rsidRPr="002F23DA">
        <w:rPr>
          <w:rFonts w:asciiTheme="majorBidi" w:hAnsiTheme="majorBidi" w:cstheme="majorBidi"/>
          <w:sz w:val="20"/>
          <w:szCs w:val="20"/>
          <w:lang w:val="en-CA"/>
        </w:rPr>
        <w:t>dBm</w:t>
      </w:r>
      <w:proofErr w:type="spellEnd"/>
      <w:r w:rsidRPr="002F23DA">
        <w:rPr>
          <w:rFonts w:asciiTheme="majorBidi" w:hAnsiTheme="majorBidi" w:cstheme="majorBidi"/>
          <w:sz w:val="20"/>
          <w:szCs w:val="20"/>
          <w:lang w:val="en-CA"/>
        </w:rPr>
        <w:t xml:space="preserve">/MHz where IMD3 of the </w:t>
      </w:r>
      <w:r>
        <w:rPr>
          <w:rFonts w:asciiTheme="majorBidi" w:hAnsiTheme="majorBidi" w:cstheme="majorBidi"/>
          <w:sz w:val="20"/>
          <w:szCs w:val="20"/>
          <w:lang w:val="en-CA"/>
        </w:rPr>
        <w:t>CC</w:t>
      </w:r>
      <w:r w:rsidRPr="002F23DA">
        <w:rPr>
          <w:rFonts w:asciiTheme="majorBidi" w:hAnsiTheme="majorBidi" w:cstheme="majorBidi"/>
          <w:sz w:val="20"/>
          <w:szCs w:val="20"/>
          <w:lang w:val="en-CA"/>
        </w:rPr>
        <w:t xml:space="preserve">s could fall on the outer adjacent region </w:t>
      </w:r>
    </w:p>
    <w:p w:rsidR="002F23DA" w:rsidRPr="002F23DA" w:rsidRDefault="002F23DA" w:rsidP="005948B1">
      <w:pPr>
        <w:pStyle w:val="ListParagraph"/>
        <w:numPr>
          <w:ilvl w:val="0"/>
          <w:numId w:val="21"/>
        </w:numPr>
        <w:ind w:firstLineChars="0"/>
        <w:jc w:val="both"/>
        <w:rPr>
          <w:rFonts w:asciiTheme="majorBidi" w:hAnsiTheme="majorBidi" w:cstheme="majorBidi"/>
          <w:sz w:val="20"/>
          <w:szCs w:val="20"/>
          <w:lang w:val="en-CA"/>
        </w:rPr>
      </w:pPr>
      <w:r w:rsidRPr="002F23DA">
        <w:rPr>
          <w:rFonts w:asciiTheme="majorBidi" w:hAnsiTheme="majorBidi" w:cstheme="majorBidi"/>
          <w:sz w:val="20"/>
          <w:szCs w:val="20"/>
          <w:lang w:val="en-CA"/>
        </w:rPr>
        <w:t>A region for SEM</w:t>
      </w:r>
      <w:r w:rsidRPr="002F23DA">
        <w:rPr>
          <w:rFonts w:asciiTheme="majorBidi" w:hAnsiTheme="majorBidi" w:cstheme="majorBidi"/>
          <w:sz w:val="20"/>
          <w:szCs w:val="20"/>
          <w:vertAlign w:val="subscript"/>
          <w:lang w:val="en-CA"/>
        </w:rPr>
        <w:t>IM3</w:t>
      </w:r>
      <w:r w:rsidRPr="002F23DA">
        <w:rPr>
          <w:rFonts w:asciiTheme="majorBidi" w:hAnsiTheme="majorBidi" w:cstheme="majorBidi"/>
          <w:sz w:val="20"/>
          <w:szCs w:val="20"/>
          <w:lang w:val="en-CA"/>
        </w:rPr>
        <w:t>= -</w:t>
      </w:r>
      <w:r>
        <w:rPr>
          <w:rFonts w:asciiTheme="majorBidi" w:hAnsiTheme="majorBidi" w:cstheme="majorBidi"/>
          <w:sz w:val="20"/>
          <w:szCs w:val="20"/>
          <w:lang w:val="en-CA"/>
        </w:rPr>
        <w:t>30</w:t>
      </w:r>
      <w:r w:rsidRPr="002F23DA">
        <w:rPr>
          <w:rFonts w:asciiTheme="majorBidi" w:hAnsiTheme="majorBidi" w:cstheme="majorBidi"/>
          <w:sz w:val="20"/>
          <w:szCs w:val="20"/>
          <w:lang w:val="en-CA"/>
        </w:rPr>
        <w:t xml:space="preserve"> </w:t>
      </w:r>
      <w:proofErr w:type="spellStart"/>
      <w:r w:rsidRPr="002F23DA">
        <w:rPr>
          <w:rFonts w:asciiTheme="majorBidi" w:hAnsiTheme="majorBidi" w:cstheme="majorBidi"/>
          <w:sz w:val="20"/>
          <w:szCs w:val="20"/>
          <w:lang w:val="en-CA"/>
        </w:rPr>
        <w:t>dBm</w:t>
      </w:r>
      <w:proofErr w:type="spellEnd"/>
      <w:r w:rsidRPr="002F23DA">
        <w:rPr>
          <w:rFonts w:asciiTheme="majorBidi" w:hAnsiTheme="majorBidi" w:cstheme="majorBidi"/>
          <w:sz w:val="20"/>
          <w:szCs w:val="20"/>
          <w:lang w:val="en-CA"/>
        </w:rPr>
        <w:t xml:space="preserve">/MHz where IMD3 of the </w:t>
      </w:r>
      <w:r>
        <w:rPr>
          <w:rFonts w:asciiTheme="majorBidi" w:hAnsiTheme="majorBidi" w:cstheme="majorBidi"/>
          <w:sz w:val="20"/>
          <w:szCs w:val="20"/>
          <w:lang w:val="en-CA"/>
        </w:rPr>
        <w:t>CC</w:t>
      </w:r>
      <w:r w:rsidRPr="002F23DA">
        <w:rPr>
          <w:rFonts w:asciiTheme="majorBidi" w:hAnsiTheme="majorBidi" w:cstheme="majorBidi"/>
          <w:sz w:val="20"/>
          <w:szCs w:val="20"/>
          <w:lang w:val="en-CA"/>
        </w:rPr>
        <w:t xml:space="preserve">s could fall </w:t>
      </w:r>
      <w:r>
        <w:rPr>
          <w:rFonts w:asciiTheme="majorBidi" w:hAnsiTheme="majorBidi" w:cstheme="majorBidi"/>
          <w:sz w:val="20"/>
          <w:szCs w:val="20"/>
          <w:lang w:val="en-CA"/>
        </w:rPr>
        <w:t>beyond</w:t>
      </w:r>
      <w:r w:rsidRPr="002F23DA">
        <w:rPr>
          <w:rFonts w:asciiTheme="majorBidi" w:hAnsiTheme="majorBidi" w:cstheme="majorBidi"/>
          <w:sz w:val="20"/>
          <w:szCs w:val="20"/>
          <w:lang w:val="en-CA"/>
        </w:rPr>
        <w:t xml:space="preserve"> the outer adjacent region </w:t>
      </w:r>
    </w:p>
    <w:p w:rsidR="00747D44" w:rsidRDefault="00250E67" w:rsidP="00747D44">
      <w:pPr>
        <w:jc w:val="both"/>
        <w:rPr>
          <w:rFonts w:asciiTheme="majorBidi" w:hAnsiTheme="majorBidi" w:cstheme="majorBidi"/>
          <w:lang w:val="en-CA"/>
        </w:rPr>
      </w:pPr>
      <w:r>
        <w:rPr>
          <w:rFonts w:asciiTheme="majorBidi" w:hAnsiTheme="majorBidi" w:cstheme="majorBidi"/>
          <w:lang w:val="en-CA"/>
        </w:rPr>
        <w:t xml:space="preserve"> </w:t>
      </w:r>
    </w:p>
    <w:p w:rsidR="007A4FA8" w:rsidRDefault="007A4FA8" w:rsidP="00747D44">
      <w:pPr>
        <w:jc w:val="both"/>
        <w:rPr>
          <w:lang w:val="en-CA"/>
        </w:rPr>
      </w:pPr>
      <w:r>
        <w:rPr>
          <w:rFonts w:asciiTheme="majorBidi" w:hAnsiTheme="majorBidi" w:cstheme="majorBidi"/>
          <w:lang w:val="en-CA"/>
        </w:rPr>
        <w:t xml:space="preserve">We propose to use the same MPR values for PC3 UEs in </w:t>
      </w:r>
      <w:r>
        <w:rPr>
          <w:lang w:val="en-CA"/>
        </w:rPr>
        <w:t>UL intra-band NC CA</w:t>
      </w:r>
      <w:r>
        <w:rPr>
          <w:rFonts w:asciiTheme="majorBidi" w:hAnsiTheme="majorBidi" w:cstheme="majorBidi"/>
          <w:lang w:val="en-CA"/>
        </w:rPr>
        <w:t xml:space="preserve"> as </w:t>
      </w:r>
      <w:r>
        <w:rPr>
          <w:lang w:val="en-CA"/>
        </w:rPr>
        <w:t xml:space="preserve">specified on section </w:t>
      </w:r>
      <w:r w:rsidRPr="001C0CC4">
        <w:t>6.2A.2.2</w:t>
      </w:r>
      <w:r>
        <w:t xml:space="preserve"> of</w:t>
      </w:r>
      <w:r>
        <w:rPr>
          <w:lang w:val="en-CA"/>
        </w:rPr>
        <w:t xml:space="preserve"> TS 38.101:</w:t>
      </w:r>
    </w:p>
    <w:p w:rsidR="005948B1" w:rsidRDefault="005948B1" w:rsidP="005948B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lang w:val="en-US"/>
        </w:rPr>
        <w:t xml:space="preserve"> MPR values for PC3 UEs with LTE </w:t>
      </w:r>
      <w:r w:rsidRPr="008D0DBC">
        <w:rPr>
          <w:lang w:val="en-US"/>
        </w:rPr>
        <w:t>UL intra-band NC CA</w:t>
      </w:r>
    </w:p>
    <w:tbl>
      <w:tblPr>
        <w:tblStyle w:val="TableGrid"/>
        <w:tblW w:w="0" w:type="auto"/>
        <w:jc w:val="center"/>
        <w:tblLook w:val="04A0" w:firstRow="1" w:lastRow="0" w:firstColumn="1" w:lastColumn="0" w:noHBand="0" w:noVBand="1"/>
      </w:tblPr>
      <w:tblGrid>
        <w:gridCol w:w="3055"/>
        <w:gridCol w:w="3420"/>
      </w:tblGrid>
      <w:tr w:rsidR="007A4FA8" w:rsidTr="00002D99">
        <w:trPr>
          <w:jc w:val="center"/>
        </w:trPr>
        <w:tc>
          <w:tcPr>
            <w:tcW w:w="3055" w:type="dxa"/>
          </w:tcPr>
          <w:p w:rsidR="00002D99" w:rsidRDefault="00002D99" w:rsidP="005948B1">
            <w:pPr>
              <w:spacing w:after="60"/>
              <w:jc w:val="both"/>
              <w:rPr>
                <w:rFonts w:asciiTheme="majorBidi" w:hAnsiTheme="majorBidi" w:cstheme="majorBidi"/>
                <w:lang w:val="en-CA"/>
              </w:rPr>
            </w:pPr>
            <w:r w:rsidRPr="00002D99">
              <w:rPr>
                <w:rFonts w:asciiTheme="majorBidi" w:hAnsiTheme="majorBidi" w:cstheme="majorBidi"/>
                <w:lang w:val="en-CA"/>
              </w:rPr>
              <w:t>MPR to meet -13dBm/MHz</w:t>
            </w:r>
            <w:r w:rsidR="00D43B07">
              <w:rPr>
                <w:rFonts w:asciiTheme="majorBidi" w:hAnsiTheme="majorBidi" w:cstheme="majorBidi"/>
                <w:lang w:val="en-CA"/>
              </w:rPr>
              <w:t>:</w:t>
            </w:r>
          </w:p>
          <w:p w:rsidR="007A4FA8" w:rsidRPr="007A4FA8" w:rsidRDefault="007A4FA8" w:rsidP="005948B1">
            <w:pPr>
              <w:spacing w:after="60"/>
              <w:jc w:val="both"/>
              <w:rPr>
                <w:rFonts w:asciiTheme="majorBidi" w:hAnsiTheme="majorBidi" w:cstheme="majorBidi"/>
                <w:lang w:val="en-CA"/>
              </w:rPr>
            </w:pPr>
            <w:r w:rsidRPr="007A4FA8">
              <w:rPr>
                <w:rFonts w:asciiTheme="majorBidi" w:hAnsiTheme="majorBidi" w:cstheme="majorBidi"/>
                <w:lang w:val="en-CA"/>
              </w:rPr>
              <w:t>M</w:t>
            </w:r>
            <w:r w:rsidR="00002D99">
              <w:rPr>
                <w:rFonts w:asciiTheme="majorBidi" w:hAnsiTheme="majorBidi" w:cstheme="majorBidi"/>
                <w:lang w:val="en-CA"/>
              </w:rPr>
              <w:t>PR</w:t>
            </w:r>
            <w:r w:rsidRPr="007A4FA8">
              <w:rPr>
                <w:rFonts w:asciiTheme="majorBidi" w:hAnsiTheme="majorBidi" w:cstheme="majorBidi"/>
                <w:lang w:val="en-CA"/>
              </w:rPr>
              <w:t xml:space="preserve"> = </w:t>
            </w:r>
            <w:r w:rsidRPr="007A4FA8">
              <w:rPr>
                <w:rFonts w:asciiTheme="majorBidi" w:hAnsiTheme="majorBidi" w:cstheme="majorBidi"/>
                <w:lang w:val="en-CA"/>
              </w:rPr>
              <w:tab/>
              <w:t>9</w:t>
            </w:r>
            <w:r w:rsidRPr="007A4FA8">
              <w:rPr>
                <w:rFonts w:asciiTheme="majorBidi" w:hAnsiTheme="majorBidi" w:cstheme="majorBidi"/>
                <w:lang w:val="en-CA"/>
              </w:rPr>
              <w:tab/>
              <w:t>;</w:t>
            </w:r>
            <w:r w:rsidRPr="007A4FA8">
              <w:rPr>
                <w:rFonts w:asciiTheme="majorBidi" w:hAnsiTheme="majorBidi" w:cstheme="majorBidi"/>
                <w:lang w:val="en-CA"/>
              </w:rPr>
              <w:tab/>
              <w:t xml:space="preserve"> 0 ≤ B &lt; 0.54</w:t>
            </w:r>
          </w:p>
          <w:p w:rsidR="007A4FA8" w:rsidRPr="007A4FA8" w:rsidRDefault="007A4FA8" w:rsidP="005948B1">
            <w:pPr>
              <w:spacing w:after="60"/>
              <w:jc w:val="both"/>
              <w:rPr>
                <w:rFonts w:asciiTheme="majorBidi" w:hAnsiTheme="majorBidi" w:cstheme="majorBidi"/>
                <w:lang w:val="en-CA"/>
              </w:rPr>
            </w:pPr>
            <w:r w:rsidRPr="007A4FA8">
              <w:rPr>
                <w:rFonts w:asciiTheme="majorBidi" w:hAnsiTheme="majorBidi" w:cstheme="majorBidi"/>
                <w:lang w:val="en-CA"/>
              </w:rPr>
              <w:tab/>
            </w:r>
            <w:r w:rsidRPr="007A4FA8">
              <w:rPr>
                <w:rFonts w:asciiTheme="majorBidi" w:hAnsiTheme="majorBidi" w:cstheme="majorBidi"/>
                <w:lang w:val="en-CA"/>
              </w:rPr>
              <w:tab/>
            </w:r>
            <w:r w:rsidRPr="007A4FA8">
              <w:rPr>
                <w:rFonts w:asciiTheme="majorBidi" w:hAnsiTheme="majorBidi" w:cstheme="majorBidi"/>
                <w:lang w:val="en-CA"/>
              </w:rPr>
              <w:tab/>
              <w:t>8.5</w:t>
            </w:r>
            <w:r w:rsidRPr="007A4FA8">
              <w:rPr>
                <w:rFonts w:asciiTheme="majorBidi" w:hAnsiTheme="majorBidi" w:cstheme="majorBidi"/>
                <w:lang w:val="en-CA"/>
              </w:rPr>
              <w:tab/>
              <w:t>;</w:t>
            </w:r>
            <w:r w:rsidRPr="007A4FA8">
              <w:rPr>
                <w:rFonts w:asciiTheme="majorBidi" w:hAnsiTheme="majorBidi" w:cstheme="majorBidi"/>
                <w:lang w:val="en-CA"/>
              </w:rPr>
              <w:tab/>
              <w:t xml:space="preserve"> 0.54 ≤ B &lt; 1.08</w:t>
            </w:r>
          </w:p>
          <w:p w:rsidR="007A4FA8" w:rsidRPr="007A4FA8" w:rsidRDefault="007A4FA8" w:rsidP="005948B1">
            <w:pPr>
              <w:spacing w:after="60"/>
              <w:jc w:val="both"/>
              <w:rPr>
                <w:rFonts w:asciiTheme="majorBidi" w:hAnsiTheme="majorBidi" w:cstheme="majorBidi"/>
                <w:lang w:val="en-CA"/>
              </w:rPr>
            </w:pPr>
            <w:r w:rsidRPr="007A4FA8">
              <w:rPr>
                <w:rFonts w:asciiTheme="majorBidi" w:hAnsiTheme="majorBidi" w:cstheme="majorBidi"/>
                <w:lang w:val="en-CA"/>
              </w:rPr>
              <w:tab/>
            </w:r>
            <w:r w:rsidRPr="007A4FA8">
              <w:rPr>
                <w:rFonts w:asciiTheme="majorBidi" w:hAnsiTheme="majorBidi" w:cstheme="majorBidi"/>
                <w:lang w:val="en-CA"/>
              </w:rPr>
              <w:tab/>
            </w:r>
            <w:r w:rsidRPr="007A4FA8">
              <w:rPr>
                <w:rFonts w:asciiTheme="majorBidi" w:hAnsiTheme="majorBidi" w:cstheme="majorBidi"/>
                <w:lang w:val="en-CA"/>
              </w:rPr>
              <w:tab/>
              <w:t>8</w:t>
            </w:r>
            <w:r w:rsidRPr="007A4FA8">
              <w:rPr>
                <w:rFonts w:asciiTheme="majorBidi" w:hAnsiTheme="majorBidi" w:cstheme="majorBidi"/>
                <w:lang w:val="en-CA"/>
              </w:rPr>
              <w:tab/>
              <w:t xml:space="preserve">; </w:t>
            </w:r>
            <w:r w:rsidRPr="007A4FA8">
              <w:rPr>
                <w:rFonts w:asciiTheme="majorBidi" w:hAnsiTheme="majorBidi" w:cstheme="majorBidi"/>
                <w:lang w:val="en-CA"/>
              </w:rPr>
              <w:tab/>
              <w:t>1.08 ≤ B &lt; 2.16</w:t>
            </w:r>
          </w:p>
          <w:p w:rsidR="007A4FA8" w:rsidRPr="007A4FA8" w:rsidRDefault="007A4FA8" w:rsidP="005948B1">
            <w:pPr>
              <w:spacing w:after="60"/>
              <w:jc w:val="both"/>
              <w:rPr>
                <w:rFonts w:asciiTheme="majorBidi" w:hAnsiTheme="majorBidi" w:cstheme="majorBidi"/>
                <w:lang w:val="en-CA"/>
              </w:rPr>
            </w:pPr>
            <w:r w:rsidRPr="007A4FA8">
              <w:rPr>
                <w:rFonts w:asciiTheme="majorBidi" w:hAnsiTheme="majorBidi" w:cstheme="majorBidi"/>
                <w:lang w:val="en-CA"/>
              </w:rPr>
              <w:tab/>
            </w:r>
            <w:r w:rsidRPr="007A4FA8">
              <w:rPr>
                <w:rFonts w:asciiTheme="majorBidi" w:hAnsiTheme="majorBidi" w:cstheme="majorBidi"/>
                <w:lang w:val="en-CA"/>
              </w:rPr>
              <w:tab/>
            </w:r>
            <w:r w:rsidRPr="007A4FA8">
              <w:rPr>
                <w:rFonts w:asciiTheme="majorBidi" w:hAnsiTheme="majorBidi" w:cstheme="majorBidi"/>
                <w:lang w:val="en-CA"/>
              </w:rPr>
              <w:tab/>
              <w:t>7</w:t>
            </w:r>
            <w:r w:rsidRPr="007A4FA8">
              <w:rPr>
                <w:rFonts w:asciiTheme="majorBidi" w:hAnsiTheme="majorBidi" w:cstheme="majorBidi"/>
                <w:lang w:val="en-CA"/>
              </w:rPr>
              <w:tab/>
              <w:t xml:space="preserve">; </w:t>
            </w:r>
            <w:r w:rsidRPr="007A4FA8">
              <w:rPr>
                <w:rFonts w:asciiTheme="majorBidi" w:hAnsiTheme="majorBidi" w:cstheme="majorBidi"/>
                <w:lang w:val="en-CA"/>
              </w:rPr>
              <w:tab/>
              <w:t>2.16 ≤ B &lt; 3.24</w:t>
            </w:r>
          </w:p>
          <w:p w:rsidR="007A4FA8" w:rsidRPr="007A4FA8" w:rsidRDefault="007A4FA8" w:rsidP="005948B1">
            <w:pPr>
              <w:spacing w:after="60"/>
              <w:jc w:val="both"/>
              <w:rPr>
                <w:rFonts w:asciiTheme="majorBidi" w:hAnsiTheme="majorBidi" w:cstheme="majorBidi"/>
                <w:lang w:val="en-CA"/>
              </w:rPr>
            </w:pPr>
            <w:r w:rsidRPr="007A4FA8">
              <w:rPr>
                <w:rFonts w:asciiTheme="majorBidi" w:hAnsiTheme="majorBidi" w:cstheme="majorBidi"/>
                <w:lang w:val="en-CA"/>
              </w:rPr>
              <w:tab/>
            </w:r>
            <w:r w:rsidRPr="007A4FA8">
              <w:rPr>
                <w:rFonts w:asciiTheme="majorBidi" w:hAnsiTheme="majorBidi" w:cstheme="majorBidi"/>
                <w:lang w:val="en-CA"/>
              </w:rPr>
              <w:tab/>
            </w:r>
            <w:r w:rsidRPr="007A4FA8">
              <w:rPr>
                <w:rFonts w:asciiTheme="majorBidi" w:hAnsiTheme="majorBidi" w:cstheme="majorBidi"/>
                <w:lang w:val="en-CA"/>
              </w:rPr>
              <w:tab/>
              <w:t>6</w:t>
            </w:r>
            <w:r w:rsidRPr="007A4FA8">
              <w:rPr>
                <w:rFonts w:asciiTheme="majorBidi" w:hAnsiTheme="majorBidi" w:cstheme="majorBidi"/>
                <w:lang w:val="en-CA"/>
              </w:rPr>
              <w:tab/>
              <w:t xml:space="preserve">; </w:t>
            </w:r>
            <w:r w:rsidRPr="007A4FA8">
              <w:rPr>
                <w:rFonts w:asciiTheme="majorBidi" w:hAnsiTheme="majorBidi" w:cstheme="majorBidi"/>
                <w:lang w:val="en-CA"/>
              </w:rPr>
              <w:tab/>
              <w:t>3.24 ≤ B &lt; 5.4</w:t>
            </w:r>
          </w:p>
          <w:p w:rsidR="007A4FA8" w:rsidRDefault="007A4FA8" w:rsidP="005948B1">
            <w:pPr>
              <w:spacing w:after="60"/>
              <w:jc w:val="both"/>
              <w:rPr>
                <w:rFonts w:asciiTheme="majorBidi" w:hAnsiTheme="majorBidi" w:cstheme="majorBidi"/>
                <w:lang w:val="en-CA"/>
              </w:rPr>
            </w:pPr>
            <w:r w:rsidRPr="007A4FA8">
              <w:rPr>
                <w:rFonts w:asciiTheme="majorBidi" w:hAnsiTheme="majorBidi" w:cstheme="majorBidi"/>
                <w:lang w:val="en-CA"/>
              </w:rPr>
              <w:tab/>
            </w:r>
            <w:r w:rsidRPr="007A4FA8">
              <w:rPr>
                <w:rFonts w:asciiTheme="majorBidi" w:hAnsiTheme="majorBidi" w:cstheme="majorBidi"/>
                <w:lang w:val="en-CA"/>
              </w:rPr>
              <w:tab/>
            </w:r>
            <w:r w:rsidRPr="007A4FA8">
              <w:rPr>
                <w:rFonts w:asciiTheme="majorBidi" w:hAnsiTheme="majorBidi" w:cstheme="majorBidi"/>
                <w:lang w:val="en-CA"/>
              </w:rPr>
              <w:tab/>
              <w:t>5</w:t>
            </w:r>
            <w:r w:rsidRPr="007A4FA8">
              <w:rPr>
                <w:rFonts w:asciiTheme="majorBidi" w:hAnsiTheme="majorBidi" w:cstheme="majorBidi"/>
                <w:lang w:val="en-CA"/>
              </w:rPr>
              <w:tab/>
              <w:t xml:space="preserve">; </w:t>
            </w:r>
            <w:r w:rsidRPr="007A4FA8">
              <w:rPr>
                <w:rFonts w:asciiTheme="majorBidi" w:hAnsiTheme="majorBidi" w:cstheme="majorBidi"/>
                <w:lang w:val="en-CA"/>
              </w:rPr>
              <w:tab/>
              <w:t>5.4 ≤ B</w:t>
            </w:r>
          </w:p>
        </w:tc>
        <w:tc>
          <w:tcPr>
            <w:tcW w:w="3420" w:type="dxa"/>
          </w:tcPr>
          <w:p w:rsidR="007A4FA8" w:rsidRDefault="00002D99" w:rsidP="005948B1">
            <w:pPr>
              <w:jc w:val="both"/>
              <w:rPr>
                <w:lang w:eastAsia="zh-CN"/>
              </w:rPr>
            </w:pPr>
            <w:r>
              <w:rPr>
                <w:lang w:eastAsia="zh-CN"/>
              </w:rPr>
              <w:t>MPR to meet -30dBm/MHz</w:t>
            </w:r>
            <w:r w:rsidR="00D43B07">
              <w:rPr>
                <w:lang w:eastAsia="zh-CN"/>
              </w:rPr>
              <w:t>:</w:t>
            </w:r>
          </w:p>
          <w:p w:rsidR="00002D99" w:rsidRPr="00002D99" w:rsidRDefault="00002D99" w:rsidP="005948B1">
            <w:pPr>
              <w:spacing w:after="60"/>
              <w:jc w:val="both"/>
              <w:rPr>
                <w:rFonts w:asciiTheme="majorBidi" w:hAnsiTheme="majorBidi" w:cstheme="majorBidi"/>
                <w:lang w:val="en-CA"/>
              </w:rPr>
            </w:pPr>
            <w:r w:rsidRPr="00002D99">
              <w:rPr>
                <w:rFonts w:asciiTheme="majorBidi" w:hAnsiTheme="majorBidi" w:cstheme="majorBidi"/>
                <w:lang w:val="en-CA"/>
              </w:rPr>
              <w:t>M</w:t>
            </w:r>
            <w:r w:rsidR="00D43B07">
              <w:rPr>
                <w:rFonts w:asciiTheme="majorBidi" w:hAnsiTheme="majorBidi" w:cstheme="majorBidi"/>
                <w:lang w:val="en-CA"/>
              </w:rPr>
              <w:t>PR</w:t>
            </w:r>
            <w:r w:rsidRPr="00002D99">
              <w:rPr>
                <w:rFonts w:asciiTheme="majorBidi" w:hAnsiTheme="majorBidi" w:cstheme="majorBidi"/>
                <w:lang w:val="en-CA"/>
              </w:rPr>
              <w:t xml:space="preserve"> = </w:t>
            </w:r>
            <w:r w:rsidRPr="00002D99">
              <w:rPr>
                <w:rFonts w:asciiTheme="majorBidi" w:hAnsiTheme="majorBidi" w:cstheme="majorBidi"/>
                <w:lang w:val="en-CA"/>
              </w:rPr>
              <w:tab/>
              <w:t xml:space="preserve">15; </w:t>
            </w:r>
            <w:r w:rsidRPr="00002D99">
              <w:rPr>
                <w:rFonts w:asciiTheme="majorBidi" w:hAnsiTheme="majorBidi" w:cstheme="majorBidi"/>
                <w:lang w:val="en-CA"/>
              </w:rPr>
              <w:tab/>
              <w:t>0 ≤ B &lt; 1.08</w:t>
            </w:r>
          </w:p>
          <w:p w:rsidR="00002D99" w:rsidRPr="00002D99" w:rsidRDefault="00002D99" w:rsidP="005948B1">
            <w:pPr>
              <w:spacing w:after="60"/>
              <w:jc w:val="both"/>
              <w:rPr>
                <w:rFonts w:asciiTheme="majorBidi" w:hAnsiTheme="majorBidi" w:cstheme="majorBidi"/>
                <w:lang w:val="en-CA"/>
              </w:rPr>
            </w:pPr>
            <w:r w:rsidRPr="00002D99">
              <w:rPr>
                <w:rFonts w:asciiTheme="majorBidi" w:hAnsiTheme="majorBidi" w:cstheme="majorBidi"/>
                <w:lang w:val="en-CA"/>
              </w:rPr>
              <w:tab/>
            </w:r>
            <w:r w:rsidRPr="00002D99">
              <w:rPr>
                <w:rFonts w:asciiTheme="majorBidi" w:hAnsiTheme="majorBidi" w:cstheme="majorBidi"/>
                <w:lang w:val="en-CA"/>
              </w:rPr>
              <w:tab/>
            </w:r>
            <w:r w:rsidRPr="00002D99">
              <w:rPr>
                <w:rFonts w:asciiTheme="majorBidi" w:hAnsiTheme="majorBidi" w:cstheme="majorBidi"/>
                <w:lang w:val="en-CA"/>
              </w:rPr>
              <w:tab/>
              <w:t xml:space="preserve">14; </w:t>
            </w:r>
            <w:r w:rsidRPr="00002D99">
              <w:rPr>
                <w:rFonts w:asciiTheme="majorBidi" w:hAnsiTheme="majorBidi" w:cstheme="majorBidi"/>
                <w:lang w:val="en-CA"/>
              </w:rPr>
              <w:tab/>
              <w:t>1.08 ≤ B &lt; 2.16</w:t>
            </w:r>
          </w:p>
          <w:p w:rsidR="00002D99" w:rsidRPr="00002D99" w:rsidRDefault="00002D99" w:rsidP="005948B1">
            <w:pPr>
              <w:spacing w:after="60"/>
              <w:jc w:val="both"/>
              <w:rPr>
                <w:rFonts w:asciiTheme="majorBidi" w:hAnsiTheme="majorBidi" w:cstheme="majorBidi"/>
                <w:lang w:val="en-CA"/>
              </w:rPr>
            </w:pPr>
            <w:r w:rsidRPr="00002D99">
              <w:rPr>
                <w:rFonts w:asciiTheme="majorBidi" w:hAnsiTheme="majorBidi" w:cstheme="majorBidi"/>
                <w:lang w:val="en-CA"/>
              </w:rPr>
              <w:tab/>
            </w:r>
            <w:r>
              <w:rPr>
                <w:rFonts w:asciiTheme="majorBidi" w:hAnsiTheme="majorBidi" w:cstheme="majorBidi"/>
                <w:lang w:val="en-CA"/>
              </w:rPr>
              <w:t xml:space="preserve">      </w:t>
            </w:r>
            <w:r w:rsidRPr="00002D99">
              <w:rPr>
                <w:rFonts w:asciiTheme="majorBidi" w:hAnsiTheme="majorBidi" w:cstheme="majorBidi"/>
                <w:lang w:val="en-CA"/>
              </w:rPr>
              <w:t xml:space="preserve">13; </w:t>
            </w:r>
            <w:r w:rsidRPr="00002D99">
              <w:rPr>
                <w:rFonts w:asciiTheme="majorBidi" w:hAnsiTheme="majorBidi" w:cstheme="majorBidi"/>
                <w:lang w:val="en-CA"/>
              </w:rPr>
              <w:tab/>
              <w:t>2.16 ≤ B &lt; 3.24</w:t>
            </w:r>
          </w:p>
          <w:p w:rsidR="00002D99" w:rsidRPr="00002D99" w:rsidRDefault="00002D99" w:rsidP="005948B1">
            <w:pPr>
              <w:spacing w:after="60"/>
              <w:jc w:val="both"/>
              <w:rPr>
                <w:rFonts w:asciiTheme="majorBidi" w:hAnsiTheme="majorBidi" w:cstheme="majorBidi"/>
                <w:lang w:val="en-CA"/>
              </w:rPr>
            </w:pPr>
            <w:r>
              <w:rPr>
                <w:rFonts w:asciiTheme="majorBidi" w:hAnsiTheme="majorBidi" w:cstheme="majorBidi"/>
                <w:lang w:val="en-CA"/>
              </w:rPr>
              <w:t xml:space="preserve">         12;  </w:t>
            </w:r>
            <w:r w:rsidRPr="00002D99">
              <w:rPr>
                <w:rFonts w:asciiTheme="majorBidi" w:hAnsiTheme="majorBidi" w:cstheme="majorBidi"/>
                <w:lang w:val="en-CA"/>
              </w:rPr>
              <w:t>3.24 ≤ B &lt; 5</w:t>
            </w:r>
          </w:p>
          <w:p w:rsidR="00002D99" w:rsidRPr="00002D99" w:rsidRDefault="00002D99" w:rsidP="005948B1">
            <w:pPr>
              <w:spacing w:after="60"/>
              <w:jc w:val="both"/>
              <w:rPr>
                <w:rFonts w:asciiTheme="majorBidi" w:hAnsiTheme="majorBidi" w:cstheme="majorBidi"/>
                <w:lang w:val="en-CA"/>
              </w:rPr>
            </w:pPr>
            <w:r>
              <w:rPr>
                <w:rFonts w:asciiTheme="majorBidi" w:hAnsiTheme="majorBidi" w:cstheme="majorBidi"/>
                <w:lang w:val="en-CA"/>
              </w:rPr>
              <w:t xml:space="preserve">         </w:t>
            </w:r>
            <w:r w:rsidRPr="00002D99">
              <w:rPr>
                <w:rFonts w:asciiTheme="majorBidi" w:hAnsiTheme="majorBidi" w:cstheme="majorBidi"/>
                <w:lang w:val="en-CA"/>
              </w:rPr>
              <w:t xml:space="preserve">11; </w:t>
            </w:r>
            <w:r w:rsidRPr="00002D99">
              <w:rPr>
                <w:rFonts w:asciiTheme="majorBidi" w:hAnsiTheme="majorBidi" w:cstheme="majorBidi"/>
                <w:lang w:val="en-CA"/>
              </w:rPr>
              <w:tab/>
              <w:t>5 ≤ B &lt; 10</w:t>
            </w:r>
          </w:p>
          <w:p w:rsidR="00002D99" w:rsidRPr="00002D99" w:rsidRDefault="00002D99" w:rsidP="005948B1">
            <w:pPr>
              <w:spacing w:after="60"/>
              <w:jc w:val="both"/>
              <w:rPr>
                <w:rFonts w:asciiTheme="majorBidi" w:hAnsiTheme="majorBidi" w:cstheme="majorBidi"/>
                <w:lang w:val="en-CA"/>
              </w:rPr>
            </w:pPr>
            <w:r w:rsidRPr="00002D99">
              <w:rPr>
                <w:rFonts w:asciiTheme="majorBidi" w:hAnsiTheme="majorBidi" w:cstheme="majorBidi"/>
                <w:lang w:val="en-CA"/>
              </w:rPr>
              <w:tab/>
            </w:r>
            <w:r w:rsidRPr="00002D99">
              <w:rPr>
                <w:rFonts w:asciiTheme="majorBidi" w:hAnsiTheme="majorBidi" w:cstheme="majorBidi"/>
                <w:lang w:val="en-CA"/>
              </w:rPr>
              <w:tab/>
            </w:r>
            <w:r w:rsidRPr="00002D99">
              <w:rPr>
                <w:rFonts w:asciiTheme="majorBidi" w:hAnsiTheme="majorBidi" w:cstheme="majorBidi"/>
                <w:lang w:val="en-CA"/>
              </w:rPr>
              <w:tab/>
              <w:t xml:space="preserve">10; </w:t>
            </w:r>
            <w:r w:rsidRPr="00002D99">
              <w:rPr>
                <w:rFonts w:asciiTheme="majorBidi" w:hAnsiTheme="majorBidi" w:cstheme="majorBidi"/>
                <w:lang w:val="en-CA"/>
              </w:rPr>
              <w:tab/>
              <w:t>10 ≤ B &lt; 16.4</w:t>
            </w:r>
          </w:p>
          <w:p w:rsidR="00002D99" w:rsidRPr="00002D99" w:rsidRDefault="00002D99" w:rsidP="005948B1">
            <w:pPr>
              <w:spacing w:after="60"/>
              <w:jc w:val="both"/>
              <w:rPr>
                <w:rFonts w:asciiTheme="majorBidi" w:hAnsiTheme="majorBidi" w:cstheme="majorBidi"/>
                <w:lang w:val="en-CA"/>
              </w:rPr>
            </w:pPr>
            <w:r w:rsidRPr="00002D99">
              <w:rPr>
                <w:rFonts w:asciiTheme="majorBidi" w:hAnsiTheme="majorBidi" w:cstheme="majorBidi"/>
                <w:lang w:val="en-CA"/>
              </w:rPr>
              <w:tab/>
            </w:r>
            <w:r w:rsidRPr="00002D99">
              <w:rPr>
                <w:rFonts w:asciiTheme="majorBidi" w:hAnsiTheme="majorBidi" w:cstheme="majorBidi"/>
                <w:lang w:val="en-CA"/>
              </w:rPr>
              <w:tab/>
            </w:r>
            <w:r w:rsidRPr="00002D99">
              <w:rPr>
                <w:rFonts w:asciiTheme="majorBidi" w:hAnsiTheme="majorBidi" w:cstheme="majorBidi"/>
                <w:lang w:val="en-CA"/>
              </w:rPr>
              <w:tab/>
            </w:r>
            <w:r>
              <w:rPr>
                <w:rFonts w:asciiTheme="majorBidi" w:hAnsiTheme="majorBidi" w:cstheme="majorBidi"/>
                <w:lang w:val="en-CA"/>
              </w:rPr>
              <w:t xml:space="preserve"> 9;   </w:t>
            </w:r>
            <w:r w:rsidRPr="00002D99">
              <w:rPr>
                <w:rFonts w:asciiTheme="majorBidi" w:hAnsiTheme="majorBidi" w:cstheme="majorBidi"/>
                <w:lang w:val="en-CA"/>
              </w:rPr>
              <w:t>16.4 ≤ B &lt; 21.8</w:t>
            </w:r>
          </w:p>
          <w:p w:rsidR="00002D99" w:rsidRDefault="00002D99" w:rsidP="005948B1">
            <w:pPr>
              <w:spacing w:after="60"/>
              <w:jc w:val="both"/>
              <w:rPr>
                <w:rFonts w:asciiTheme="majorBidi" w:hAnsiTheme="majorBidi" w:cstheme="majorBidi"/>
                <w:lang w:val="en-CA"/>
              </w:rPr>
            </w:pPr>
            <w:r>
              <w:rPr>
                <w:rFonts w:asciiTheme="majorBidi" w:hAnsiTheme="majorBidi" w:cstheme="majorBidi"/>
                <w:lang w:val="en-CA"/>
              </w:rPr>
              <w:t xml:space="preserve">         8; </w:t>
            </w:r>
            <w:r>
              <w:rPr>
                <w:rFonts w:asciiTheme="majorBidi" w:hAnsiTheme="majorBidi" w:cstheme="majorBidi"/>
                <w:lang w:val="en-CA"/>
              </w:rPr>
              <w:tab/>
            </w:r>
            <w:r w:rsidRPr="00002D99">
              <w:rPr>
                <w:rFonts w:asciiTheme="majorBidi" w:hAnsiTheme="majorBidi" w:cstheme="majorBidi"/>
                <w:lang w:val="en-CA"/>
              </w:rPr>
              <w:t>21.8 ≤ B</w:t>
            </w:r>
          </w:p>
        </w:tc>
      </w:tr>
      <w:tr w:rsidR="00035BA0" w:rsidTr="001D6BB9">
        <w:trPr>
          <w:jc w:val="center"/>
        </w:trPr>
        <w:tc>
          <w:tcPr>
            <w:tcW w:w="6475" w:type="dxa"/>
            <w:gridSpan w:val="2"/>
          </w:tcPr>
          <w:p w:rsidR="00035BA0" w:rsidRDefault="00035BA0" w:rsidP="005948B1">
            <w:pPr>
              <w:jc w:val="both"/>
              <w:rPr>
                <w:lang w:eastAsia="zh-CN"/>
              </w:rPr>
            </w:pPr>
            <w:r w:rsidRPr="00035BA0">
              <w:rPr>
                <w:lang w:eastAsia="zh-CN"/>
              </w:rPr>
              <w:t>B=(</w:t>
            </w:r>
            <w:proofErr w:type="spellStart"/>
            <w:r w:rsidRPr="00035BA0">
              <w:rPr>
                <w:lang w:eastAsia="zh-CN"/>
              </w:rPr>
              <w:t>LCRB_alloc</w:t>
            </w:r>
            <w:proofErr w:type="spellEnd"/>
            <w:r w:rsidRPr="00035BA0">
              <w:rPr>
                <w:lang w:eastAsia="zh-CN"/>
              </w:rPr>
              <w:t>, 1* 12* SCS1 + LCRB_alloc,2 * 12 * SCS2)/1,000,000</w:t>
            </w:r>
          </w:p>
          <w:p w:rsidR="00CE371B" w:rsidRDefault="00E27C9F" w:rsidP="005948B1">
            <w:pPr>
              <w:jc w:val="both"/>
              <w:rPr>
                <w:lang w:eastAsia="zh-CN"/>
              </w:rPr>
            </w:pPr>
            <w:r>
              <w:rPr>
                <w:lang w:eastAsia="zh-CN"/>
              </w:rPr>
              <w:t>Note 1: Dual-PA architecture is supported</w:t>
            </w:r>
          </w:p>
        </w:tc>
      </w:tr>
    </w:tbl>
    <w:p w:rsidR="00E27C9F" w:rsidRPr="007A4FA8" w:rsidRDefault="00E27C9F" w:rsidP="00E27C9F">
      <w:pPr>
        <w:jc w:val="both"/>
        <w:rPr>
          <w:rFonts w:asciiTheme="majorBidi" w:hAnsiTheme="majorBidi" w:cstheme="majorBidi"/>
          <w:lang w:val="en-CA"/>
        </w:rPr>
      </w:pPr>
      <w:r>
        <w:rPr>
          <w:rFonts w:asciiTheme="majorBidi" w:hAnsiTheme="majorBidi" w:cstheme="majorBidi"/>
          <w:lang w:val="en-CA"/>
        </w:rPr>
        <w:t>Note 1 is added to indicate that these MPR values are suitable for UEs with 2 transmission chains. On the other hand one can also propose to have a dedicated UE capability for such UEs.</w:t>
      </w:r>
    </w:p>
    <w:p w:rsidR="00035BA0" w:rsidRPr="00035BA0" w:rsidRDefault="00035BA0" w:rsidP="005948B1">
      <w:pPr>
        <w:jc w:val="both"/>
        <w:rPr>
          <w:b/>
          <w:bCs/>
          <w:sz w:val="24"/>
          <w:szCs w:val="24"/>
          <w:lang w:val="en-CA"/>
        </w:rPr>
      </w:pPr>
      <w:r>
        <w:rPr>
          <w:b/>
          <w:bCs/>
          <w:sz w:val="24"/>
          <w:szCs w:val="24"/>
          <w:lang w:val="en-CA"/>
        </w:rPr>
        <w:t>UE Capability of Dual PA Architecture</w:t>
      </w:r>
      <w:r w:rsidRPr="00035BA0">
        <w:rPr>
          <w:b/>
          <w:bCs/>
          <w:sz w:val="24"/>
          <w:szCs w:val="24"/>
          <w:lang w:val="en-CA"/>
        </w:rPr>
        <w:t>:</w:t>
      </w:r>
    </w:p>
    <w:p w:rsidR="00C7787F" w:rsidRDefault="00035BA0" w:rsidP="00D032C2">
      <w:pPr>
        <w:jc w:val="both"/>
      </w:pPr>
      <w:r>
        <w:rPr>
          <w:lang w:val="en-CA"/>
        </w:rPr>
        <w:t xml:space="preserve">Since an architecture with 2 PAs, 2 LOs is required for UL intra-band NC CA with </w:t>
      </w:r>
      <w:proofErr w:type="spellStart"/>
      <w:r>
        <w:t>W</w:t>
      </w:r>
      <w:r w:rsidRPr="00675644">
        <w:rPr>
          <w:vertAlign w:val="subscript"/>
        </w:rPr>
        <w:t>ga</w:t>
      </w:r>
      <w:r>
        <w:rPr>
          <w:vertAlign w:val="subscript"/>
        </w:rPr>
        <w:t>p</w:t>
      </w:r>
      <w:proofErr w:type="spellEnd"/>
      <w:r>
        <w:t>&gt; 35 MHz, a special UE capability IE needs to be defined. One direct way would be to introduce the UE capability</w:t>
      </w:r>
      <w:r w:rsidR="004E71E1">
        <w:t>,</w:t>
      </w:r>
      <w:r>
        <w:t xml:space="preserve"> </w:t>
      </w:r>
      <w:r w:rsidR="004E71E1">
        <w:t>which</w:t>
      </w:r>
      <w:r>
        <w:t xml:space="preserve"> is currently used on NR</w:t>
      </w:r>
      <w:r w:rsidR="004E71E1">
        <w:t>,</w:t>
      </w:r>
      <w:r>
        <w:t xml:space="preserve"> to LTE</w:t>
      </w:r>
      <w:r w:rsidR="004E71E1">
        <w:t>. The exact wording could be defined by RAN</w:t>
      </w:r>
      <w:r w:rsidR="005948B1">
        <w:t>2</w:t>
      </w:r>
      <w:r w:rsidR="00D032C2">
        <w:t>,</w:t>
      </w:r>
      <w:r w:rsidR="004E71E1">
        <w:t xml:space="preserve"> </w:t>
      </w:r>
      <w:r w:rsidR="00D032C2">
        <w:t>but as a reference</w:t>
      </w:r>
      <w:r w:rsidR="004E71E1">
        <w:t xml:space="preserve"> the NR counter-part is given below</w:t>
      </w:r>
      <w:r w:rsidR="005948B1">
        <w:t xml:space="preserve"> as</w:t>
      </w:r>
      <w:r w:rsidR="004E71E1">
        <w:t>:</w:t>
      </w:r>
    </w:p>
    <w:p w:rsidR="004E71E1" w:rsidRPr="001F4300" w:rsidRDefault="004E71E1" w:rsidP="005948B1">
      <w:pPr>
        <w:pStyle w:val="TAL"/>
        <w:jc w:val="both"/>
        <w:rPr>
          <w:b/>
          <w:i/>
        </w:rPr>
      </w:pPr>
      <w:proofErr w:type="spellStart"/>
      <w:proofErr w:type="gramStart"/>
      <w:r w:rsidRPr="001F4300">
        <w:rPr>
          <w:b/>
          <w:i/>
        </w:rPr>
        <w:t>dualPA</w:t>
      </w:r>
      <w:proofErr w:type="spellEnd"/>
      <w:r w:rsidRPr="001F4300">
        <w:rPr>
          <w:b/>
          <w:i/>
        </w:rPr>
        <w:t>-Architecture</w:t>
      </w:r>
      <w:proofErr w:type="gramEnd"/>
    </w:p>
    <w:p w:rsidR="004E71E1" w:rsidRPr="00035BA0" w:rsidRDefault="004E71E1" w:rsidP="005948B1">
      <w:pPr>
        <w:ind w:left="1440"/>
        <w:jc w:val="both"/>
        <w:rPr>
          <w:lang w:val="en-CA"/>
        </w:rPr>
      </w:pPr>
      <w:r w:rsidRPr="001F4300">
        <w:t>For band combinations with single-band with UL CA, this field indicates the support of dual PA. If absent in such band combinations, the UE supports single PA for all the ULs. For other band combinations, this field is not applicable.</w:t>
      </w:r>
    </w:p>
    <w:p w:rsidR="005948B1" w:rsidRPr="001B0D6C" w:rsidRDefault="001B0D6C" w:rsidP="001B0D6C">
      <w:pPr>
        <w:jc w:val="both"/>
        <w:rPr>
          <w:b/>
          <w:bCs/>
          <w:lang w:val="en-CA"/>
        </w:rPr>
      </w:pPr>
      <w:r w:rsidRPr="001B0D6C">
        <w:rPr>
          <w:b/>
          <w:bCs/>
          <w:lang w:val="en-CA"/>
        </w:rPr>
        <w:t>Observation 1: S</w:t>
      </w:r>
      <w:r w:rsidR="005948B1" w:rsidRPr="001B0D6C">
        <w:rPr>
          <w:b/>
          <w:bCs/>
          <w:lang w:val="en-CA"/>
        </w:rPr>
        <w:t>ince the architecture will include only 2 different transmission chains, UL MIMO cannot be used when UL intra-band NC CA is configured.</w:t>
      </w:r>
    </w:p>
    <w:p w:rsidR="005948B1" w:rsidRPr="001B0D6C" w:rsidRDefault="005948B1" w:rsidP="005948B1">
      <w:pPr>
        <w:jc w:val="both"/>
        <w:rPr>
          <w:b/>
          <w:bCs/>
          <w:lang w:val="en-CA"/>
        </w:rPr>
      </w:pPr>
      <w:r w:rsidRPr="001B0D6C">
        <w:rPr>
          <w:b/>
          <w:bCs/>
          <w:lang w:val="en-CA"/>
        </w:rPr>
        <w:t>Proposal 1: For a PC3 UE with LTE UL intra-band NC CA</w:t>
      </w:r>
      <w:r w:rsidR="00D032C2">
        <w:rPr>
          <w:rFonts w:asciiTheme="majorBidi" w:hAnsiTheme="majorBidi" w:cstheme="majorBidi"/>
          <w:b/>
          <w:bCs/>
          <w:lang w:val="en-CA"/>
        </w:rPr>
        <w:t xml:space="preserve"> use</w:t>
      </w:r>
      <w:r w:rsidRPr="001B0D6C">
        <w:rPr>
          <w:b/>
          <w:bCs/>
          <w:lang w:val="en-CA"/>
        </w:rPr>
        <w:t xml:space="preserve"> the same MPR values as NR, as specified in Table 1.</w:t>
      </w:r>
    </w:p>
    <w:p w:rsidR="005948B1" w:rsidRPr="001B0D6C" w:rsidRDefault="005948B1" w:rsidP="005948B1">
      <w:pPr>
        <w:jc w:val="both"/>
        <w:rPr>
          <w:b/>
          <w:bCs/>
          <w:lang w:val="en-CA"/>
        </w:rPr>
      </w:pPr>
      <w:r w:rsidRPr="001B0D6C">
        <w:rPr>
          <w:b/>
          <w:bCs/>
          <w:lang w:val="en-CA"/>
        </w:rPr>
        <w:t>Proposal 2</w:t>
      </w:r>
      <w:proofErr w:type="gramStart"/>
      <w:r w:rsidRPr="001B0D6C">
        <w:rPr>
          <w:b/>
          <w:bCs/>
          <w:lang w:val="en-CA"/>
        </w:rPr>
        <w:t>:</w:t>
      </w:r>
      <w:r w:rsidR="00747D44">
        <w:rPr>
          <w:b/>
          <w:bCs/>
          <w:lang w:val="en-CA"/>
        </w:rPr>
        <w:t>If</w:t>
      </w:r>
      <w:proofErr w:type="gramEnd"/>
      <w:r w:rsidR="00747D44">
        <w:rPr>
          <w:b/>
          <w:bCs/>
          <w:lang w:val="en-CA"/>
        </w:rPr>
        <w:t xml:space="preserve"> Note 1 in Table 1 is not sufficient,</w:t>
      </w:r>
      <w:r w:rsidRPr="001B0D6C">
        <w:rPr>
          <w:b/>
          <w:bCs/>
          <w:lang w:val="en-CA"/>
        </w:rPr>
        <w:t xml:space="preserve"> a UE capability (such as </w:t>
      </w:r>
      <w:proofErr w:type="spellStart"/>
      <w:r w:rsidRPr="001B0D6C">
        <w:rPr>
          <w:b/>
          <w:bCs/>
          <w:i/>
          <w:iCs/>
          <w:lang w:val="en-CA"/>
        </w:rPr>
        <w:t>dualPA</w:t>
      </w:r>
      <w:proofErr w:type="spellEnd"/>
      <w:r w:rsidRPr="001B0D6C">
        <w:rPr>
          <w:b/>
          <w:bCs/>
          <w:i/>
          <w:iCs/>
          <w:lang w:val="en-CA"/>
        </w:rPr>
        <w:t xml:space="preserve">-Architecture </w:t>
      </w:r>
      <w:r w:rsidRPr="001B0D6C">
        <w:rPr>
          <w:b/>
          <w:bCs/>
          <w:lang w:val="en-CA"/>
        </w:rPr>
        <w:t>in NR) needs to be introduced to take into account the new UE architecture with 2 PAs and 2 LOs.</w:t>
      </w:r>
    </w:p>
    <w:p w:rsidR="00BA0687" w:rsidRDefault="005948B1" w:rsidP="00BA0687">
      <w:pPr>
        <w:pStyle w:val="Heading1"/>
        <w:numPr>
          <w:ilvl w:val="0"/>
          <w:numId w:val="0"/>
        </w:numPr>
        <w:jc w:val="both"/>
      </w:pPr>
      <w:r>
        <w:rPr>
          <w:lang w:val="en-CA"/>
        </w:rPr>
        <w:t xml:space="preserve"> </w:t>
      </w:r>
      <w:r w:rsidR="00BA0687">
        <w:t>Conclusion</w:t>
      </w:r>
    </w:p>
    <w:p w:rsidR="00BA0687" w:rsidRPr="001B0D6C" w:rsidRDefault="00BA0687" w:rsidP="00BA0687">
      <w:pPr>
        <w:jc w:val="both"/>
        <w:rPr>
          <w:b/>
          <w:bCs/>
          <w:lang w:val="en-CA"/>
        </w:rPr>
      </w:pPr>
      <w:r w:rsidRPr="001B0D6C">
        <w:rPr>
          <w:b/>
          <w:bCs/>
          <w:lang w:val="en-CA"/>
        </w:rPr>
        <w:t>Observation 1: Since the architecture will include only 2 different transmission chains, UL MIMO cannot be used when UL intra-band NC CA is configured.</w:t>
      </w:r>
    </w:p>
    <w:p w:rsidR="00BA0687" w:rsidRPr="001B0D6C" w:rsidRDefault="00BA0687" w:rsidP="00BA0687">
      <w:pPr>
        <w:jc w:val="both"/>
        <w:rPr>
          <w:b/>
          <w:bCs/>
          <w:lang w:val="en-CA"/>
        </w:rPr>
      </w:pPr>
      <w:r w:rsidRPr="001B0D6C">
        <w:rPr>
          <w:b/>
          <w:bCs/>
          <w:lang w:val="en-CA"/>
        </w:rPr>
        <w:lastRenderedPageBreak/>
        <w:t>Proposal 1: For a PC3 UE with LTE UL intra-band NC CA</w:t>
      </w:r>
      <w:r>
        <w:rPr>
          <w:rFonts w:asciiTheme="majorBidi" w:hAnsiTheme="majorBidi" w:cstheme="majorBidi"/>
          <w:b/>
          <w:bCs/>
          <w:lang w:val="en-CA"/>
        </w:rPr>
        <w:t xml:space="preserve"> use</w:t>
      </w:r>
      <w:r w:rsidRPr="001B0D6C">
        <w:rPr>
          <w:b/>
          <w:bCs/>
          <w:lang w:val="en-CA"/>
        </w:rPr>
        <w:t xml:space="preserve"> the same MPR values as NR, as specified in Table 1.</w:t>
      </w:r>
    </w:p>
    <w:p w:rsidR="00BA0687" w:rsidRPr="001B0D6C" w:rsidRDefault="00BA0687" w:rsidP="00BA0687">
      <w:pPr>
        <w:jc w:val="both"/>
        <w:rPr>
          <w:b/>
          <w:bCs/>
          <w:lang w:val="en-CA"/>
        </w:rPr>
      </w:pPr>
      <w:r w:rsidRPr="001B0D6C">
        <w:rPr>
          <w:b/>
          <w:bCs/>
          <w:lang w:val="en-CA"/>
        </w:rPr>
        <w:t>Proposal 2</w:t>
      </w:r>
      <w:proofErr w:type="gramStart"/>
      <w:r w:rsidRPr="001B0D6C">
        <w:rPr>
          <w:b/>
          <w:bCs/>
          <w:lang w:val="en-CA"/>
        </w:rPr>
        <w:t>:</w:t>
      </w:r>
      <w:r>
        <w:rPr>
          <w:b/>
          <w:bCs/>
          <w:lang w:val="en-CA"/>
        </w:rPr>
        <w:t>If</w:t>
      </w:r>
      <w:proofErr w:type="gramEnd"/>
      <w:r>
        <w:rPr>
          <w:b/>
          <w:bCs/>
          <w:lang w:val="en-CA"/>
        </w:rPr>
        <w:t xml:space="preserve"> Note 1 in Table 1 is not sufficient,</w:t>
      </w:r>
      <w:r w:rsidRPr="001B0D6C">
        <w:rPr>
          <w:b/>
          <w:bCs/>
          <w:lang w:val="en-CA"/>
        </w:rPr>
        <w:t xml:space="preserve"> a UE capability (such as </w:t>
      </w:r>
      <w:proofErr w:type="spellStart"/>
      <w:r w:rsidRPr="001B0D6C">
        <w:rPr>
          <w:b/>
          <w:bCs/>
          <w:i/>
          <w:iCs/>
          <w:lang w:val="en-CA"/>
        </w:rPr>
        <w:t>dualPA</w:t>
      </w:r>
      <w:proofErr w:type="spellEnd"/>
      <w:r w:rsidRPr="001B0D6C">
        <w:rPr>
          <w:b/>
          <w:bCs/>
          <w:i/>
          <w:iCs/>
          <w:lang w:val="en-CA"/>
        </w:rPr>
        <w:t xml:space="preserve">-Architecture </w:t>
      </w:r>
      <w:r w:rsidRPr="001B0D6C">
        <w:rPr>
          <w:b/>
          <w:bCs/>
          <w:lang w:val="en-CA"/>
        </w:rPr>
        <w:t>in NR) needs to be introduced to take into account the new UE architecture with 2 PAs and 2 LOs.</w:t>
      </w:r>
    </w:p>
    <w:p w:rsidR="00D00480" w:rsidRPr="00924843" w:rsidRDefault="00D00480" w:rsidP="005948B1">
      <w:pPr>
        <w:jc w:val="both"/>
        <w:rPr>
          <w:lang w:val="en-CA"/>
        </w:rPr>
      </w:pPr>
    </w:p>
    <w:p w:rsidR="00B02AE0" w:rsidRPr="00A81A25" w:rsidRDefault="00B02AE0" w:rsidP="005948B1">
      <w:pPr>
        <w:pStyle w:val="Heading1"/>
        <w:numPr>
          <w:ilvl w:val="0"/>
          <w:numId w:val="0"/>
        </w:numPr>
        <w:jc w:val="both"/>
      </w:pPr>
      <w:r>
        <w:t>References</w:t>
      </w:r>
    </w:p>
    <w:p w:rsidR="009851AA" w:rsidRPr="009851AA" w:rsidRDefault="009851AA" w:rsidP="009851AA">
      <w:pPr>
        <w:pStyle w:val="Bibliography"/>
      </w:pPr>
      <w:r>
        <w:rPr>
          <w:rFonts w:eastAsia="SimSun"/>
          <w:lang w:eastAsia="zh-CN"/>
        </w:rPr>
        <w:fldChar w:fldCharType="begin"/>
      </w:r>
      <w:r>
        <w:rPr>
          <w:rFonts w:eastAsia="SimSun"/>
          <w:lang w:eastAsia="zh-CN"/>
        </w:rPr>
        <w:instrText xml:space="preserve"> ADDIN ZOTERO_BIBL {"uncited":[],"omitted":[],"custom":[]} CSL_BIBLIOGRAPHY </w:instrText>
      </w:r>
      <w:r>
        <w:rPr>
          <w:rFonts w:eastAsia="SimSun"/>
          <w:lang w:eastAsia="zh-CN"/>
        </w:rPr>
        <w:fldChar w:fldCharType="separate"/>
      </w:r>
      <w:r w:rsidRPr="009851AA">
        <w:t>[1]</w:t>
      </w:r>
      <w:r w:rsidRPr="009851AA">
        <w:tab/>
        <w:t xml:space="preserve">“RP-223511, New WID: Maximum Power Reduction Requirements for LTE Intra-band Carrier Aggregation with a Component Carrier gap larger than 35 MHz, Vodafone.” </w:t>
      </w:r>
    </w:p>
    <w:p w:rsidR="009851AA" w:rsidRPr="009851AA" w:rsidRDefault="009851AA" w:rsidP="009851AA">
      <w:pPr>
        <w:pStyle w:val="Bibliography"/>
      </w:pPr>
      <w:r w:rsidRPr="009851AA">
        <w:t>[2]</w:t>
      </w:r>
      <w:r w:rsidRPr="009851AA">
        <w:tab/>
        <w:t xml:space="preserve">“R4-2016815, CR for intra-band UL CA non-contiguous CA requirement, Huawei, HiSilicon, Nokia.” </w:t>
      </w:r>
    </w:p>
    <w:p w:rsidR="002107CF" w:rsidRDefault="009851AA" w:rsidP="009851AA">
      <w:pPr>
        <w:overflowPunct/>
        <w:autoSpaceDE/>
        <w:autoSpaceDN/>
        <w:adjustRightInd/>
        <w:jc w:val="both"/>
        <w:textAlignment w:val="auto"/>
        <w:rPr>
          <w:rFonts w:eastAsia="SimSun"/>
          <w:lang w:eastAsia="zh-CN"/>
        </w:rPr>
      </w:pPr>
      <w:r>
        <w:rPr>
          <w:rFonts w:eastAsia="SimSun"/>
          <w:lang w:eastAsia="zh-CN"/>
        </w:rPr>
        <w:fldChar w:fldCharType="end"/>
      </w:r>
    </w:p>
    <w:p w:rsidR="00BB1FFE" w:rsidRDefault="00BB1FFE" w:rsidP="005948B1">
      <w:pPr>
        <w:overflowPunct/>
        <w:autoSpaceDE/>
        <w:autoSpaceDN/>
        <w:adjustRightInd/>
        <w:jc w:val="both"/>
        <w:textAlignment w:val="auto"/>
        <w:rPr>
          <w:rFonts w:eastAsia="SimSun"/>
          <w:lang w:eastAsia="zh-CN"/>
        </w:rPr>
      </w:pPr>
    </w:p>
    <w:p w:rsidR="000D4382" w:rsidRPr="000D4382" w:rsidRDefault="000D4382" w:rsidP="005948B1">
      <w:pPr>
        <w:jc w:val="both"/>
        <w:rPr>
          <w:rFonts w:eastAsia="SimSun"/>
          <w:lang w:eastAsia="zh-CN"/>
        </w:rPr>
      </w:pPr>
    </w:p>
    <w:sectPr w:rsidR="000D4382" w:rsidRPr="000D4382" w:rsidSect="000D77C9">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EA0" w:rsidRDefault="00577EA0">
      <w:r>
        <w:separator/>
      </w:r>
    </w:p>
  </w:endnote>
  <w:endnote w:type="continuationSeparator" w:id="0">
    <w:p w:rsidR="00577EA0" w:rsidRDefault="00577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516" w:rsidRDefault="008A551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EA0" w:rsidRDefault="00577EA0">
      <w:r>
        <w:separator/>
      </w:r>
    </w:p>
  </w:footnote>
  <w:footnote w:type="continuationSeparator" w:id="0">
    <w:p w:rsidR="00577EA0" w:rsidRDefault="00577E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822"/>
        </w:tabs>
        <w:ind w:left="652"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BB265D"/>
    <w:multiLevelType w:val="hybridMultilevel"/>
    <w:tmpl w:val="DE504814"/>
    <w:lvl w:ilvl="0" w:tplc="A2D43C4C">
      <w:start w:val="1"/>
      <w:numFmt w:val="bullet"/>
      <w:lvlText w:val="•"/>
      <w:lvlJc w:val="left"/>
      <w:pPr>
        <w:tabs>
          <w:tab w:val="num" w:pos="720"/>
        </w:tabs>
        <w:ind w:left="720" w:hanging="360"/>
      </w:pPr>
      <w:rPr>
        <w:rFonts w:ascii="Arial" w:hAnsi="Arial" w:hint="default"/>
      </w:rPr>
    </w:lvl>
    <w:lvl w:ilvl="1" w:tplc="C31825B4">
      <w:numFmt w:val="bullet"/>
      <w:lvlText w:val="•"/>
      <w:lvlJc w:val="left"/>
      <w:pPr>
        <w:tabs>
          <w:tab w:val="num" w:pos="1440"/>
        </w:tabs>
        <w:ind w:left="1440" w:hanging="360"/>
      </w:pPr>
      <w:rPr>
        <w:rFonts w:ascii="Arial" w:hAnsi="Arial" w:hint="default"/>
      </w:rPr>
    </w:lvl>
    <w:lvl w:ilvl="2" w:tplc="C040E9DE" w:tentative="1">
      <w:start w:val="1"/>
      <w:numFmt w:val="bullet"/>
      <w:lvlText w:val="•"/>
      <w:lvlJc w:val="left"/>
      <w:pPr>
        <w:tabs>
          <w:tab w:val="num" w:pos="2160"/>
        </w:tabs>
        <w:ind w:left="2160" w:hanging="360"/>
      </w:pPr>
      <w:rPr>
        <w:rFonts w:ascii="Arial" w:hAnsi="Arial" w:hint="default"/>
      </w:rPr>
    </w:lvl>
    <w:lvl w:ilvl="3" w:tplc="9B4EA658" w:tentative="1">
      <w:start w:val="1"/>
      <w:numFmt w:val="bullet"/>
      <w:lvlText w:val="•"/>
      <w:lvlJc w:val="left"/>
      <w:pPr>
        <w:tabs>
          <w:tab w:val="num" w:pos="2880"/>
        </w:tabs>
        <w:ind w:left="2880" w:hanging="360"/>
      </w:pPr>
      <w:rPr>
        <w:rFonts w:ascii="Arial" w:hAnsi="Arial" w:hint="default"/>
      </w:rPr>
    </w:lvl>
    <w:lvl w:ilvl="4" w:tplc="23DE5926" w:tentative="1">
      <w:start w:val="1"/>
      <w:numFmt w:val="bullet"/>
      <w:lvlText w:val="•"/>
      <w:lvlJc w:val="left"/>
      <w:pPr>
        <w:tabs>
          <w:tab w:val="num" w:pos="3600"/>
        </w:tabs>
        <w:ind w:left="3600" w:hanging="360"/>
      </w:pPr>
      <w:rPr>
        <w:rFonts w:ascii="Arial" w:hAnsi="Arial" w:hint="default"/>
      </w:rPr>
    </w:lvl>
    <w:lvl w:ilvl="5" w:tplc="7EC4B65A" w:tentative="1">
      <w:start w:val="1"/>
      <w:numFmt w:val="bullet"/>
      <w:lvlText w:val="•"/>
      <w:lvlJc w:val="left"/>
      <w:pPr>
        <w:tabs>
          <w:tab w:val="num" w:pos="4320"/>
        </w:tabs>
        <w:ind w:left="4320" w:hanging="360"/>
      </w:pPr>
      <w:rPr>
        <w:rFonts w:ascii="Arial" w:hAnsi="Arial" w:hint="default"/>
      </w:rPr>
    </w:lvl>
    <w:lvl w:ilvl="6" w:tplc="3476F8A2" w:tentative="1">
      <w:start w:val="1"/>
      <w:numFmt w:val="bullet"/>
      <w:lvlText w:val="•"/>
      <w:lvlJc w:val="left"/>
      <w:pPr>
        <w:tabs>
          <w:tab w:val="num" w:pos="5040"/>
        </w:tabs>
        <w:ind w:left="5040" w:hanging="360"/>
      </w:pPr>
      <w:rPr>
        <w:rFonts w:ascii="Arial" w:hAnsi="Arial" w:hint="default"/>
      </w:rPr>
    </w:lvl>
    <w:lvl w:ilvl="7" w:tplc="130614E2" w:tentative="1">
      <w:start w:val="1"/>
      <w:numFmt w:val="bullet"/>
      <w:lvlText w:val="•"/>
      <w:lvlJc w:val="left"/>
      <w:pPr>
        <w:tabs>
          <w:tab w:val="num" w:pos="5760"/>
        </w:tabs>
        <w:ind w:left="5760" w:hanging="360"/>
      </w:pPr>
      <w:rPr>
        <w:rFonts w:ascii="Arial" w:hAnsi="Arial" w:hint="default"/>
      </w:rPr>
    </w:lvl>
    <w:lvl w:ilvl="8" w:tplc="67F6D2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910B62"/>
    <w:multiLevelType w:val="hybridMultilevel"/>
    <w:tmpl w:val="B2ACFE04"/>
    <w:lvl w:ilvl="0" w:tplc="2E1AF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F53827"/>
    <w:multiLevelType w:val="hybridMultilevel"/>
    <w:tmpl w:val="373C7128"/>
    <w:lvl w:ilvl="0" w:tplc="20C2FF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3C550A"/>
    <w:multiLevelType w:val="hybridMultilevel"/>
    <w:tmpl w:val="14C64852"/>
    <w:lvl w:ilvl="0" w:tplc="A2D43C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5EFA6F12"/>
    <w:multiLevelType w:val="hybridMultilevel"/>
    <w:tmpl w:val="ACDADBF0"/>
    <w:lvl w:ilvl="0" w:tplc="1A0C7DA2">
      <w:start w:val="1"/>
      <w:numFmt w:val="bullet"/>
      <w:lvlText w:val="•"/>
      <w:lvlJc w:val="left"/>
      <w:pPr>
        <w:tabs>
          <w:tab w:val="num" w:pos="720"/>
        </w:tabs>
        <w:ind w:left="720" w:hanging="360"/>
      </w:pPr>
      <w:rPr>
        <w:rFonts w:ascii="Arial" w:hAnsi="Arial" w:hint="default"/>
      </w:rPr>
    </w:lvl>
    <w:lvl w:ilvl="1" w:tplc="4E765CFA" w:tentative="1">
      <w:start w:val="1"/>
      <w:numFmt w:val="bullet"/>
      <w:lvlText w:val="•"/>
      <w:lvlJc w:val="left"/>
      <w:pPr>
        <w:tabs>
          <w:tab w:val="num" w:pos="1440"/>
        </w:tabs>
        <w:ind w:left="1440" w:hanging="360"/>
      </w:pPr>
      <w:rPr>
        <w:rFonts w:ascii="Arial" w:hAnsi="Arial" w:hint="default"/>
      </w:rPr>
    </w:lvl>
    <w:lvl w:ilvl="2" w:tplc="7F36D4C2">
      <w:start w:val="1"/>
      <w:numFmt w:val="bullet"/>
      <w:lvlText w:val="•"/>
      <w:lvlJc w:val="left"/>
      <w:pPr>
        <w:tabs>
          <w:tab w:val="num" w:pos="2160"/>
        </w:tabs>
        <w:ind w:left="2160" w:hanging="360"/>
      </w:pPr>
      <w:rPr>
        <w:rFonts w:ascii="Arial" w:hAnsi="Arial" w:hint="default"/>
      </w:rPr>
    </w:lvl>
    <w:lvl w:ilvl="3" w:tplc="D52ED58E">
      <w:numFmt w:val="bullet"/>
      <w:lvlText w:val="•"/>
      <w:lvlJc w:val="left"/>
      <w:pPr>
        <w:tabs>
          <w:tab w:val="num" w:pos="2880"/>
        </w:tabs>
        <w:ind w:left="2880" w:hanging="360"/>
      </w:pPr>
      <w:rPr>
        <w:rFonts w:ascii="Arial" w:hAnsi="Arial" w:hint="default"/>
      </w:rPr>
    </w:lvl>
    <w:lvl w:ilvl="4" w:tplc="3A0C51CA">
      <w:numFmt w:val="bullet"/>
      <w:lvlText w:val="•"/>
      <w:lvlJc w:val="left"/>
      <w:pPr>
        <w:tabs>
          <w:tab w:val="num" w:pos="3600"/>
        </w:tabs>
        <w:ind w:left="3600" w:hanging="360"/>
      </w:pPr>
      <w:rPr>
        <w:rFonts w:ascii="Arial" w:hAnsi="Arial" w:hint="default"/>
      </w:rPr>
    </w:lvl>
    <w:lvl w:ilvl="5" w:tplc="27508EF8" w:tentative="1">
      <w:start w:val="1"/>
      <w:numFmt w:val="bullet"/>
      <w:lvlText w:val="•"/>
      <w:lvlJc w:val="left"/>
      <w:pPr>
        <w:tabs>
          <w:tab w:val="num" w:pos="4320"/>
        </w:tabs>
        <w:ind w:left="4320" w:hanging="360"/>
      </w:pPr>
      <w:rPr>
        <w:rFonts w:ascii="Arial" w:hAnsi="Arial" w:hint="default"/>
      </w:rPr>
    </w:lvl>
    <w:lvl w:ilvl="6" w:tplc="51267D1C" w:tentative="1">
      <w:start w:val="1"/>
      <w:numFmt w:val="bullet"/>
      <w:lvlText w:val="•"/>
      <w:lvlJc w:val="left"/>
      <w:pPr>
        <w:tabs>
          <w:tab w:val="num" w:pos="5040"/>
        </w:tabs>
        <w:ind w:left="5040" w:hanging="360"/>
      </w:pPr>
      <w:rPr>
        <w:rFonts w:ascii="Arial" w:hAnsi="Arial" w:hint="default"/>
      </w:rPr>
    </w:lvl>
    <w:lvl w:ilvl="7" w:tplc="FB26993C" w:tentative="1">
      <w:start w:val="1"/>
      <w:numFmt w:val="bullet"/>
      <w:lvlText w:val="•"/>
      <w:lvlJc w:val="left"/>
      <w:pPr>
        <w:tabs>
          <w:tab w:val="num" w:pos="5760"/>
        </w:tabs>
        <w:ind w:left="5760" w:hanging="360"/>
      </w:pPr>
      <w:rPr>
        <w:rFonts w:ascii="Arial" w:hAnsi="Arial" w:hint="default"/>
      </w:rPr>
    </w:lvl>
    <w:lvl w:ilvl="8" w:tplc="136696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E20BF2"/>
    <w:multiLevelType w:val="hybridMultilevel"/>
    <w:tmpl w:val="82CEB700"/>
    <w:lvl w:ilvl="0" w:tplc="D1402FB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17"/>
  </w:num>
  <w:num w:numId="2">
    <w:abstractNumId w:val="5"/>
  </w:num>
  <w:num w:numId="3">
    <w:abstractNumId w:val="8"/>
  </w:num>
  <w:num w:numId="4">
    <w:abstractNumId w:val="9"/>
  </w:num>
  <w:num w:numId="5">
    <w:abstractNumId w:val="1"/>
  </w:num>
  <w:num w:numId="6">
    <w:abstractNumId w:val="13"/>
  </w:num>
  <w:num w:numId="7">
    <w:abstractNumId w:val="18"/>
  </w:num>
  <w:num w:numId="8">
    <w:abstractNumId w:val="2"/>
  </w:num>
  <w:num w:numId="9">
    <w:abstractNumId w:val="19"/>
  </w:num>
  <w:num w:numId="10">
    <w:abstractNumId w:val="1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15"/>
  </w:num>
  <w:num w:numId="17">
    <w:abstractNumId w:val="7"/>
  </w:num>
  <w:num w:numId="18">
    <w:abstractNumId w:val="20"/>
  </w:num>
  <w:num w:numId="19">
    <w:abstractNumId w:val="6"/>
  </w:num>
  <w:num w:numId="20">
    <w:abstractNumId w:val="11"/>
  </w:num>
  <w:num w:numId="21">
    <w:abstractNumId w:val="10"/>
  </w:num>
  <w:num w:numId="2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2D99"/>
    <w:rsid w:val="000042FB"/>
    <w:rsid w:val="000046FC"/>
    <w:rsid w:val="000052A1"/>
    <w:rsid w:val="0000533B"/>
    <w:rsid w:val="000059BB"/>
    <w:rsid w:val="000059D0"/>
    <w:rsid w:val="000063C5"/>
    <w:rsid w:val="00006F04"/>
    <w:rsid w:val="000116BD"/>
    <w:rsid w:val="000117D7"/>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AAE"/>
    <w:rsid w:val="00026F5D"/>
    <w:rsid w:val="00031165"/>
    <w:rsid w:val="000315B9"/>
    <w:rsid w:val="00031CC0"/>
    <w:rsid w:val="00032561"/>
    <w:rsid w:val="000326E2"/>
    <w:rsid w:val="00033A4B"/>
    <w:rsid w:val="00033F47"/>
    <w:rsid w:val="00034F28"/>
    <w:rsid w:val="0003564D"/>
    <w:rsid w:val="00035BA0"/>
    <w:rsid w:val="0003627D"/>
    <w:rsid w:val="000368DA"/>
    <w:rsid w:val="000402AB"/>
    <w:rsid w:val="00041AF5"/>
    <w:rsid w:val="0004260F"/>
    <w:rsid w:val="00043DC8"/>
    <w:rsid w:val="0004406F"/>
    <w:rsid w:val="00044123"/>
    <w:rsid w:val="00044985"/>
    <w:rsid w:val="000456C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3EA"/>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0DD2"/>
    <w:rsid w:val="00081D13"/>
    <w:rsid w:val="00082230"/>
    <w:rsid w:val="0008285B"/>
    <w:rsid w:val="000834ED"/>
    <w:rsid w:val="00083ED8"/>
    <w:rsid w:val="00084240"/>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08AE"/>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1F90"/>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45C"/>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67D9B"/>
    <w:rsid w:val="001705AC"/>
    <w:rsid w:val="00170A94"/>
    <w:rsid w:val="001713BB"/>
    <w:rsid w:val="00171CFF"/>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160"/>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BD0"/>
    <w:rsid w:val="001A5FAC"/>
    <w:rsid w:val="001A652B"/>
    <w:rsid w:val="001A689D"/>
    <w:rsid w:val="001B044D"/>
    <w:rsid w:val="001B0D6C"/>
    <w:rsid w:val="001B15B6"/>
    <w:rsid w:val="001B1D3C"/>
    <w:rsid w:val="001B32FB"/>
    <w:rsid w:val="001B3BC3"/>
    <w:rsid w:val="001B4001"/>
    <w:rsid w:val="001B4F8C"/>
    <w:rsid w:val="001B659B"/>
    <w:rsid w:val="001B65AE"/>
    <w:rsid w:val="001B7033"/>
    <w:rsid w:val="001B708E"/>
    <w:rsid w:val="001B72DC"/>
    <w:rsid w:val="001C07E9"/>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29F5"/>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1CF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3D77"/>
    <w:rsid w:val="001F4DD2"/>
    <w:rsid w:val="001F5512"/>
    <w:rsid w:val="001F5FDC"/>
    <w:rsid w:val="001F626C"/>
    <w:rsid w:val="001F6F34"/>
    <w:rsid w:val="001F71E4"/>
    <w:rsid w:val="001F7C4D"/>
    <w:rsid w:val="002004D3"/>
    <w:rsid w:val="002006E3"/>
    <w:rsid w:val="00200B45"/>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7AC"/>
    <w:rsid w:val="00241962"/>
    <w:rsid w:val="00243F07"/>
    <w:rsid w:val="002449F5"/>
    <w:rsid w:val="00244C32"/>
    <w:rsid w:val="002454B7"/>
    <w:rsid w:val="00245814"/>
    <w:rsid w:val="002458BE"/>
    <w:rsid w:val="00245CCE"/>
    <w:rsid w:val="00246136"/>
    <w:rsid w:val="00246595"/>
    <w:rsid w:val="0024694E"/>
    <w:rsid w:val="00246BED"/>
    <w:rsid w:val="00250986"/>
    <w:rsid w:val="00250E67"/>
    <w:rsid w:val="002512DC"/>
    <w:rsid w:val="002513E2"/>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78"/>
    <w:rsid w:val="002706D2"/>
    <w:rsid w:val="002707BC"/>
    <w:rsid w:val="00271981"/>
    <w:rsid w:val="00271CA1"/>
    <w:rsid w:val="00272254"/>
    <w:rsid w:val="0027380F"/>
    <w:rsid w:val="00273EBD"/>
    <w:rsid w:val="0027421E"/>
    <w:rsid w:val="002749A5"/>
    <w:rsid w:val="00274AFD"/>
    <w:rsid w:val="00274F83"/>
    <w:rsid w:val="0027520E"/>
    <w:rsid w:val="00275B69"/>
    <w:rsid w:val="002767D2"/>
    <w:rsid w:val="0027699C"/>
    <w:rsid w:val="00276A44"/>
    <w:rsid w:val="00277DDF"/>
    <w:rsid w:val="00280251"/>
    <w:rsid w:val="002809B8"/>
    <w:rsid w:val="00280B47"/>
    <w:rsid w:val="002816B9"/>
    <w:rsid w:val="0028277B"/>
    <w:rsid w:val="00282812"/>
    <w:rsid w:val="002834E3"/>
    <w:rsid w:val="00283C23"/>
    <w:rsid w:val="00285DDA"/>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2A5E"/>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4E6E"/>
    <w:rsid w:val="002E5DEA"/>
    <w:rsid w:val="002E719D"/>
    <w:rsid w:val="002E7D9C"/>
    <w:rsid w:val="002E7F93"/>
    <w:rsid w:val="002E7FAD"/>
    <w:rsid w:val="002F001B"/>
    <w:rsid w:val="002F11FE"/>
    <w:rsid w:val="002F1247"/>
    <w:rsid w:val="002F1435"/>
    <w:rsid w:val="002F23DA"/>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3EF1"/>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1EED"/>
    <w:rsid w:val="0033298B"/>
    <w:rsid w:val="00332A3B"/>
    <w:rsid w:val="00332E63"/>
    <w:rsid w:val="00333D5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0F9F"/>
    <w:rsid w:val="00351204"/>
    <w:rsid w:val="003527B2"/>
    <w:rsid w:val="003529B8"/>
    <w:rsid w:val="00352EED"/>
    <w:rsid w:val="0035466A"/>
    <w:rsid w:val="0035574C"/>
    <w:rsid w:val="0035625A"/>
    <w:rsid w:val="003566FF"/>
    <w:rsid w:val="003568B3"/>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402"/>
    <w:rsid w:val="00382D5F"/>
    <w:rsid w:val="00384028"/>
    <w:rsid w:val="003865CA"/>
    <w:rsid w:val="00386ACE"/>
    <w:rsid w:val="00386E67"/>
    <w:rsid w:val="003901C2"/>
    <w:rsid w:val="003903D3"/>
    <w:rsid w:val="00390E9F"/>
    <w:rsid w:val="00390EAA"/>
    <w:rsid w:val="0039167C"/>
    <w:rsid w:val="00393499"/>
    <w:rsid w:val="00393614"/>
    <w:rsid w:val="003936F2"/>
    <w:rsid w:val="00393873"/>
    <w:rsid w:val="00393916"/>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8A1"/>
    <w:rsid w:val="003B5923"/>
    <w:rsid w:val="003B5F06"/>
    <w:rsid w:val="003B6A7F"/>
    <w:rsid w:val="003B6F6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2BD4"/>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576"/>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056"/>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1C18"/>
    <w:rsid w:val="00472760"/>
    <w:rsid w:val="00472944"/>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3C27"/>
    <w:rsid w:val="004C53D8"/>
    <w:rsid w:val="004C5872"/>
    <w:rsid w:val="004C66F1"/>
    <w:rsid w:val="004C705B"/>
    <w:rsid w:val="004C7412"/>
    <w:rsid w:val="004C7937"/>
    <w:rsid w:val="004C7F29"/>
    <w:rsid w:val="004D0792"/>
    <w:rsid w:val="004D0D39"/>
    <w:rsid w:val="004D30FD"/>
    <w:rsid w:val="004D3ADB"/>
    <w:rsid w:val="004D3C23"/>
    <w:rsid w:val="004D41F8"/>
    <w:rsid w:val="004D4538"/>
    <w:rsid w:val="004D4A9F"/>
    <w:rsid w:val="004D4FB6"/>
    <w:rsid w:val="004D572F"/>
    <w:rsid w:val="004D6B3A"/>
    <w:rsid w:val="004D7610"/>
    <w:rsid w:val="004E156A"/>
    <w:rsid w:val="004E1CB3"/>
    <w:rsid w:val="004E23A7"/>
    <w:rsid w:val="004E2453"/>
    <w:rsid w:val="004E2554"/>
    <w:rsid w:val="004E5418"/>
    <w:rsid w:val="004E5A26"/>
    <w:rsid w:val="004E5D84"/>
    <w:rsid w:val="004E6B02"/>
    <w:rsid w:val="004E71E1"/>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17DFF"/>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77EA0"/>
    <w:rsid w:val="0058033C"/>
    <w:rsid w:val="00581A68"/>
    <w:rsid w:val="00581B00"/>
    <w:rsid w:val="005822F8"/>
    <w:rsid w:val="005836AF"/>
    <w:rsid w:val="00583DC6"/>
    <w:rsid w:val="0058454D"/>
    <w:rsid w:val="0058532E"/>
    <w:rsid w:val="00585BFB"/>
    <w:rsid w:val="005864FA"/>
    <w:rsid w:val="00586956"/>
    <w:rsid w:val="00587942"/>
    <w:rsid w:val="00587F5F"/>
    <w:rsid w:val="00590164"/>
    <w:rsid w:val="005902B1"/>
    <w:rsid w:val="005902F9"/>
    <w:rsid w:val="00591628"/>
    <w:rsid w:val="005929A6"/>
    <w:rsid w:val="00592DCF"/>
    <w:rsid w:val="005948B1"/>
    <w:rsid w:val="00595781"/>
    <w:rsid w:val="00595AB9"/>
    <w:rsid w:val="005979E8"/>
    <w:rsid w:val="005A0AF5"/>
    <w:rsid w:val="005A11A6"/>
    <w:rsid w:val="005A16B1"/>
    <w:rsid w:val="005A1B4F"/>
    <w:rsid w:val="005A218D"/>
    <w:rsid w:val="005A2454"/>
    <w:rsid w:val="005A2A9B"/>
    <w:rsid w:val="005A2E39"/>
    <w:rsid w:val="005A3CCD"/>
    <w:rsid w:val="005A49A3"/>
    <w:rsid w:val="005A5060"/>
    <w:rsid w:val="005A591A"/>
    <w:rsid w:val="005A63D3"/>
    <w:rsid w:val="005A6AD0"/>
    <w:rsid w:val="005A774A"/>
    <w:rsid w:val="005B05C2"/>
    <w:rsid w:val="005B15C2"/>
    <w:rsid w:val="005B25EB"/>
    <w:rsid w:val="005B3056"/>
    <w:rsid w:val="005B3177"/>
    <w:rsid w:val="005B420E"/>
    <w:rsid w:val="005B4B60"/>
    <w:rsid w:val="005B4D3C"/>
    <w:rsid w:val="005B61BE"/>
    <w:rsid w:val="005B622A"/>
    <w:rsid w:val="005B6C51"/>
    <w:rsid w:val="005B6C6F"/>
    <w:rsid w:val="005B7577"/>
    <w:rsid w:val="005B7CF7"/>
    <w:rsid w:val="005B7FE3"/>
    <w:rsid w:val="005C0023"/>
    <w:rsid w:val="005C0FCA"/>
    <w:rsid w:val="005C107E"/>
    <w:rsid w:val="005C25A5"/>
    <w:rsid w:val="005C319B"/>
    <w:rsid w:val="005C4B21"/>
    <w:rsid w:val="005C53A0"/>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3B00"/>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68D"/>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673"/>
    <w:rsid w:val="00633CB5"/>
    <w:rsid w:val="0063439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839"/>
    <w:rsid w:val="00646925"/>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55F"/>
    <w:rsid w:val="00667B57"/>
    <w:rsid w:val="00667F48"/>
    <w:rsid w:val="00670935"/>
    <w:rsid w:val="006740EF"/>
    <w:rsid w:val="006755C2"/>
    <w:rsid w:val="00675644"/>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99B"/>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439"/>
    <w:rsid w:val="006D69F9"/>
    <w:rsid w:val="006D7219"/>
    <w:rsid w:val="006E0CC1"/>
    <w:rsid w:val="006E0CCB"/>
    <w:rsid w:val="006E159E"/>
    <w:rsid w:val="006E2A66"/>
    <w:rsid w:val="006E3403"/>
    <w:rsid w:val="006E3408"/>
    <w:rsid w:val="006E3A57"/>
    <w:rsid w:val="006E54E1"/>
    <w:rsid w:val="006E5C1E"/>
    <w:rsid w:val="006E662D"/>
    <w:rsid w:val="006E6697"/>
    <w:rsid w:val="006E6FFC"/>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16E7D"/>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149"/>
    <w:rsid w:val="0073349C"/>
    <w:rsid w:val="0073376A"/>
    <w:rsid w:val="00733FC1"/>
    <w:rsid w:val="007341DF"/>
    <w:rsid w:val="0073466F"/>
    <w:rsid w:val="00734849"/>
    <w:rsid w:val="00734987"/>
    <w:rsid w:val="00735A21"/>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47D44"/>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BF5"/>
    <w:rsid w:val="00770C60"/>
    <w:rsid w:val="00771663"/>
    <w:rsid w:val="00771D69"/>
    <w:rsid w:val="007725E4"/>
    <w:rsid w:val="007726A7"/>
    <w:rsid w:val="007726F1"/>
    <w:rsid w:val="0077302C"/>
    <w:rsid w:val="007758A6"/>
    <w:rsid w:val="00775C1B"/>
    <w:rsid w:val="00775D55"/>
    <w:rsid w:val="00775E57"/>
    <w:rsid w:val="00777FE2"/>
    <w:rsid w:val="00780611"/>
    <w:rsid w:val="00780D72"/>
    <w:rsid w:val="007810AF"/>
    <w:rsid w:val="007832CA"/>
    <w:rsid w:val="00783CB5"/>
    <w:rsid w:val="00784373"/>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4FA8"/>
    <w:rsid w:val="007A5AA9"/>
    <w:rsid w:val="007A5F16"/>
    <w:rsid w:val="007A68BF"/>
    <w:rsid w:val="007A6AED"/>
    <w:rsid w:val="007A7007"/>
    <w:rsid w:val="007A7A0E"/>
    <w:rsid w:val="007A7ACB"/>
    <w:rsid w:val="007B0234"/>
    <w:rsid w:val="007B34A4"/>
    <w:rsid w:val="007B3E89"/>
    <w:rsid w:val="007B692F"/>
    <w:rsid w:val="007B6CB8"/>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099B"/>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83A"/>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1F40"/>
    <w:rsid w:val="00832BDE"/>
    <w:rsid w:val="00832ED2"/>
    <w:rsid w:val="00833758"/>
    <w:rsid w:val="008339AC"/>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9D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66847"/>
    <w:rsid w:val="00870916"/>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5CF"/>
    <w:rsid w:val="008827AD"/>
    <w:rsid w:val="00883486"/>
    <w:rsid w:val="008838E2"/>
    <w:rsid w:val="00883CED"/>
    <w:rsid w:val="00884178"/>
    <w:rsid w:val="008863CE"/>
    <w:rsid w:val="00886C7E"/>
    <w:rsid w:val="00887C45"/>
    <w:rsid w:val="00892543"/>
    <w:rsid w:val="00892A58"/>
    <w:rsid w:val="00892CBB"/>
    <w:rsid w:val="0089312F"/>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516"/>
    <w:rsid w:val="008A5B33"/>
    <w:rsid w:val="008A5E3E"/>
    <w:rsid w:val="008A5EB0"/>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13E"/>
    <w:rsid w:val="008C45BD"/>
    <w:rsid w:val="008C49AC"/>
    <w:rsid w:val="008C57A9"/>
    <w:rsid w:val="008C6315"/>
    <w:rsid w:val="008C7CC9"/>
    <w:rsid w:val="008C7D8A"/>
    <w:rsid w:val="008D0F24"/>
    <w:rsid w:val="008D169B"/>
    <w:rsid w:val="008D3804"/>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C7E"/>
    <w:rsid w:val="00906E43"/>
    <w:rsid w:val="00910207"/>
    <w:rsid w:val="009109BC"/>
    <w:rsid w:val="009112E8"/>
    <w:rsid w:val="00911A11"/>
    <w:rsid w:val="00911ECC"/>
    <w:rsid w:val="009120F2"/>
    <w:rsid w:val="00912326"/>
    <w:rsid w:val="00912955"/>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4843"/>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6E14"/>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0CD"/>
    <w:rsid w:val="00970CB3"/>
    <w:rsid w:val="00970F79"/>
    <w:rsid w:val="00971280"/>
    <w:rsid w:val="00972244"/>
    <w:rsid w:val="00974092"/>
    <w:rsid w:val="009742C0"/>
    <w:rsid w:val="00974667"/>
    <w:rsid w:val="00976057"/>
    <w:rsid w:val="00977056"/>
    <w:rsid w:val="00977FD7"/>
    <w:rsid w:val="009816BB"/>
    <w:rsid w:val="009824C3"/>
    <w:rsid w:val="009831C4"/>
    <w:rsid w:val="009845C3"/>
    <w:rsid w:val="009848B8"/>
    <w:rsid w:val="00984B5F"/>
    <w:rsid w:val="009851AA"/>
    <w:rsid w:val="00985FFE"/>
    <w:rsid w:val="009865DF"/>
    <w:rsid w:val="00986C52"/>
    <w:rsid w:val="00987DF6"/>
    <w:rsid w:val="0099056B"/>
    <w:rsid w:val="00991450"/>
    <w:rsid w:val="0099186E"/>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444"/>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00"/>
    <w:rsid w:val="00A14781"/>
    <w:rsid w:val="00A147D7"/>
    <w:rsid w:val="00A15412"/>
    <w:rsid w:val="00A15B40"/>
    <w:rsid w:val="00A15C99"/>
    <w:rsid w:val="00A163B8"/>
    <w:rsid w:val="00A16C22"/>
    <w:rsid w:val="00A172A8"/>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6563"/>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CB5"/>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04"/>
    <w:rsid w:val="00AC03D4"/>
    <w:rsid w:val="00AC0CA0"/>
    <w:rsid w:val="00AC1EE2"/>
    <w:rsid w:val="00AC244D"/>
    <w:rsid w:val="00AC30F3"/>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212"/>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3EB2"/>
    <w:rsid w:val="00B351BF"/>
    <w:rsid w:val="00B3683C"/>
    <w:rsid w:val="00B36ABA"/>
    <w:rsid w:val="00B37330"/>
    <w:rsid w:val="00B37649"/>
    <w:rsid w:val="00B37662"/>
    <w:rsid w:val="00B376FD"/>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2F"/>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153"/>
    <w:rsid w:val="00B94204"/>
    <w:rsid w:val="00B9429D"/>
    <w:rsid w:val="00B958D8"/>
    <w:rsid w:val="00B95E0B"/>
    <w:rsid w:val="00B96B15"/>
    <w:rsid w:val="00B973B5"/>
    <w:rsid w:val="00B97422"/>
    <w:rsid w:val="00BA0687"/>
    <w:rsid w:val="00BA105E"/>
    <w:rsid w:val="00BA16C8"/>
    <w:rsid w:val="00BA16F6"/>
    <w:rsid w:val="00BA22AA"/>
    <w:rsid w:val="00BA27FC"/>
    <w:rsid w:val="00BA3D64"/>
    <w:rsid w:val="00BA4081"/>
    <w:rsid w:val="00BA4225"/>
    <w:rsid w:val="00BA55DD"/>
    <w:rsid w:val="00BA7489"/>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0AF"/>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1E63"/>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773"/>
    <w:rsid w:val="00C51A6A"/>
    <w:rsid w:val="00C51D95"/>
    <w:rsid w:val="00C520C5"/>
    <w:rsid w:val="00C525C7"/>
    <w:rsid w:val="00C52639"/>
    <w:rsid w:val="00C52E23"/>
    <w:rsid w:val="00C53C77"/>
    <w:rsid w:val="00C545D2"/>
    <w:rsid w:val="00C54B26"/>
    <w:rsid w:val="00C55CAF"/>
    <w:rsid w:val="00C5620A"/>
    <w:rsid w:val="00C56455"/>
    <w:rsid w:val="00C56765"/>
    <w:rsid w:val="00C57060"/>
    <w:rsid w:val="00C57573"/>
    <w:rsid w:val="00C60565"/>
    <w:rsid w:val="00C60843"/>
    <w:rsid w:val="00C61411"/>
    <w:rsid w:val="00C62217"/>
    <w:rsid w:val="00C625B8"/>
    <w:rsid w:val="00C625CA"/>
    <w:rsid w:val="00C62FB4"/>
    <w:rsid w:val="00C634B9"/>
    <w:rsid w:val="00C63AE3"/>
    <w:rsid w:val="00C64439"/>
    <w:rsid w:val="00C64E32"/>
    <w:rsid w:val="00C6500D"/>
    <w:rsid w:val="00C6560C"/>
    <w:rsid w:val="00C65B3E"/>
    <w:rsid w:val="00C67D98"/>
    <w:rsid w:val="00C70619"/>
    <w:rsid w:val="00C70A4A"/>
    <w:rsid w:val="00C70D24"/>
    <w:rsid w:val="00C70FAD"/>
    <w:rsid w:val="00C7131E"/>
    <w:rsid w:val="00C7159A"/>
    <w:rsid w:val="00C71BC6"/>
    <w:rsid w:val="00C7428F"/>
    <w:rsid w:val="00C74791"/>
    <w:rsid w:val="00C74A5F"/>
    <w:rsid w:val="00C75874"/>
    <w:rsid w:val="00C771C2"/>
    <w:rsid w:val="00C7749E"/>
    <w:rsid w:val="00C7787F"/>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094"/>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196"/>
    <w:rsid w:val="00CE2D1D"/>
    <w:rsid w:val="00CE371B"/>
    <w:rsid w:val="00CE5F3A"/>
    <w:rsid w:val="00CE6C39"/>
    <w:rsid w:val="00CE72B9"/>
    <w:rsid w:val="00CE752E"/>
    <w:rsid w:val="00CF0CC0"/>
    <w:rsid w:val="00CF0EFE"/>
    <w:rsid w:val="00CF0FB3"/>
    <w:rsid w:val="00CF1715"/>
    <w:rsid w:val="00CF2558"/>
    <w:rsid w:val="00CF28A3"/>
    <w:rsid w:val="00CF2DA8"/>
    <w:rsid w:val="00CF4303"/>
    <w:rsid w:val="00CF4BD6"/>
    <w:rsid w:val="00CF681C"/>
    <w:rsid w:val="00CF692C"/>
    <w:rsid w:val="00CF708B"/>
    <w:rsid w:val="00CF7DD7"/>
    <w:rsid w:val="00CF7FF1"/>
    <w:rsid w:val="00D00480"/>
    <w:rsid w:val="00D01453"/>
    <w:rsid w:val="00D017E5"/>
    <w:rsid w:val="00D027FD"/>
    <w:rsid w:val="00D03014"/>
    <w:rsid w:val="00D03243"/>
    <w:rsid w:val="00D03267"/>
    <w:rsid w:val="00D032C2"/>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B07"/>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811"/>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AE0"/>
    <w:rsid w:val="00DF7F08"/>
    <w:rsid w:val="00E00404"/>
    <w:rsid w:val="00E0195D"/>
    <w:rsid w:val="00E02B3D"/>
    <w:rsid w:val="00E02C24"/>
    <w:rsid w:val="00E0364D"/>
    <w:rsid w:val="00E036A0"/>
    <w:rsid w:val="00E046D1"/>
    <w:rsid w:val="00E050B5"/>
    <w:rsid w:val="00E066B0"/>
    <w:rsid w:val="00E07486"/>
    <w:rsid w:val="00E07C0A"/>
    <w:rsid w:val="00E103A0"/>
    <w:rsid w:val="00E10A28"/>
    <w:rsid w:val="00E11A21"/>
    <w:rsid w:val="00E12243"/>
    <w:rsid w:val="00E1246D"/>
    <w:rsid w:val="00E128A8"/>
    <w:rsid w:val="00E147B3"/>
    <w:rsid w:val="00E165AB"/>
    <w:rsid w:val="00E17333"/>
    <w:rsid w:val="00E176A4"/>
    <w:rsid w:val="00E17A5D"/>
    <w:rsid w:val="00E17EAD"/>
    <w:rsid w:val="00E2053C"/>
    <w:rsid w:val="00E22AC6"/>
    <w:rsid w:val="00E23C3E"/>
    <w:rsid w:val="00E24492"/>
    <w:rsid w:val="00E24916"/>
    <w:rsid w:val="00E25A5D"/>
    <w:rsid w:val="00E2620C"/>
    <w:rsid w:val="00E26960"/>
    <w:rsid w:val="00E2720B"/>
    <w:rsid w:val="00E27801"/>
    <w:rsid w:val="00E2780F"/>
    <w:rsid w:val="00E27C9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46D"/>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1E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6E0"/>
    <w:rsid w:val="00E82B2E"/>
    <w:rsid w:val="00E83233"/>
    <w:rsid w:val="00E83758"/>
    <w:rsid w:val="00E83899"/>
    <w:rsid w:val="00E83BC8"/>
    <w:rsid w:val="00E83C64"/>
    <w:rsid w:val="00E85AF4"/>
    <w:rsid w:val="00E85F1B"/>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3FB"/>
    <w:rsid w:val="00EC444E"/>
    <w:rsid w:val="00EC7EC1"/>
    <w:rsid w:val="00ED0C07"/>
    <w:rsid w:val="00ED1544"/>
    <w:rsid w:val="00ED2D48"/>
    <w:rsid w:val="00ED2E0E"/>
    <w:rsid w:val="00ED3063"/>
    <w:rsid w:val="00ED34A4"/>
    <w:rsid w:val="00ED3534"/>
    <w:rsid w:val="00ED3776"/>
    <w:rsid w:val="00ED3AA5"/>
    <w:rsid w:val="00ED3CA3"/>
    <w:rsid w:val="00ED5CC0"/>
    <w:rsid w:val="00ED73C6"/>
    <w:rsid w:val="00ED7AC1"/>
    <w:rsid w:val="00EE08C0"/>
    <w:rsid w:val="00EE17CB"/>
    <w:rsid w:val="00EE25B1"/>
    <w:rsid w:val="00EE3A90"/>
    <w:rsid w:val="00EE40F7"/>
    <w:rsid w:val="00EE49F2"/>
    <w:rsid w:val="00EE53AA"/>
    <w:rsid w:val="00EE57BF"/>
    <w:rsid w:val="00EE716D"/>
    <w:rsid w:val="00EE7666"/>
    <w:rsid w:val="00EF0454"/>
    <w:rsid w:val="00EF240A"/>
    <w:rsid w:val="00EF2B1C"/>
    <w:rsid w:val="00EF33D3"/>
    <w:rsid w:val="00EF3C8D"/>
    <w:rsid w:val="00EF40D6"/>
    <w:rsid w:val="00EF45A5"/>
    <w:rsid w:val="00EF4731"/>
    <w:rsid w:val="00EF4A57"/>
    <w:rsid w:val="00EF52A7"/>
    <w:rsid w:val="00EF5644"/>
    <w:rsid w:val="00EF5727"/>
    <w:rsid w:val="00EF6C90"/>
    <w:rsid w:val="00EF6D78"/>
    <w:rsid w:val="00EF706A"/>
    <w:rsid w:val="00EF7378"/>
    <w:rsid w:val="00EF7A64"/>
    <w:rsid w:val="00EF7E4C"/>
    <w:rsid w:val="00F0143D"/>
    <w:rsid w:val="00F01A36"/>
    <w:rsid w:val="00F027FD"/>
    <w:rsid w:val="00F03B76"/>
    <w:rsid w:val="00F03CAF"/>
    <w:rsid w:val="00F040E7"/>
    <w:rsid w:val="00F04704"/>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13CE"/>
    <w:rsid w:val="00F42731"/>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57C71"/>
    <w:rsid w:val="00F60BA9"/>
    <w:rsid w:val="00F611BF"/>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456F"/>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241"/>
    <w:rsid w:val="00F963C9"/>
    <w:rsid w:val="00F9653D"/>
    <w:rsid w:val="00F970BF"/>
    <w:rsid w:val="00F974FB"/>
    <w:rsid w:val="00F97837"/>
    <w:rsid w:val="00F97D87"/>
    <w:rsid w:val="00F97FB9"/>
    <w:rsid w:val="00FA0A5D"/>
    <w:rsid w:val="00FA0AAA"/>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1FF"/>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A7D"/>
    <w:rsid w:val="00FD1D5A"/>
    <w:rsid w:val="00FD2727"/>
    <w:rsid w:val="00FD32F8"/>
    <w:rsid w:val="00FD370E"/>
    <w:rsid w:val="00FD418C"/>
    <w:rsid w:val="00FD5731"/>
    <w:rsid w:val="00FD63F9"/>
    <w:rsid w:val="00FD65C6"/>
    <w:rsid w:val="00FD69E7"/>
    <w:rsid w:val="00FD760B"/>
    <w:rsid w:val="00FD7DAD"/>
    <w:rsid w:val="00FE163B"/>
    <w:rsid w:val="00FE1B31"/>
    <w:rsid w:val="00FE22EE"/>
    <w:rsid w:val="00FE25A2"/>
    <w:rsid w:val="00FE3F17"/>
    <w:rsid w:val="00FE4A80"/>
    <w:rsid w:val="00FE6498"/>
    <w:rsid w:val="00FE6973"/>
    <w:rsid w:val="00FE6C70"/>
    <w:rsid w:val="00FE6F47"/>
    <w:rsid w:val="00FE72B2"/>
    <w:rsid w:val="00FE7BA4"/>
    <w:rsid w:val="00FF0856"/>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611A6B6-15C2-4CEA-874B-AE4CDA44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68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uiPriority w:val="9"/>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uiPriority w:val="9"/>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
    <w:name w:val="B1"/>
    <w:basedOn w:val="List"/>
    <w:rsid w:val="00A97F44"/>
    <w:rPr>
      <w:rFonts w:eastAsia="Malgun Gothic"/>
    </w:rPr>
  </w:style>
  <w:style w:type="paragraph" w:customStyle="1" w:styleId="B2">
    <w:name w:val="B2+"/>
    <w:basedOn w:val="Normal"/>
    <w:rsid w:val="00CC0E36"/>
    <w:pPr>
      <w:numPr>
        <w:numId w:val="9"/>
      </w:numPr>
    </w:pPr>
    <w:rPr>
      <w:rFonts w:eastAsia="MS Mincho"/>
      <w:lang w:eastAsia="en-GB"/>
    </w:rPr>
  </w:style>
  <w:style w:type="paragraph" w:customStyle="1" w:styleId="done">
    <w:name w:val="done"/>
    <w:basedOn w:val="Normal"/>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rPr>
  </w:style>
  <w:style w:type="character" w:customStyle="1" w:styleId="ListParagraphChar">
    <w:name w:val="List Paragraph Char"/>
    <w:link w:val="ListParagraph"/>
    <w:uiPriority w:val="34"/>
    <w:qFormat/>
    <w:locked/>
    <w:rsid w:val="001E1CFB"/>
    <w:rPr>
      <w:rFonts w:ascii="SimSun" w:eastAsia="SimSun" w:hAnsi="SimSun" w:cs="SimSun"/>
      <w:sz w:val="24"/>
      <w:szCs w:val="24"/>
    </w:rPr>
  </w:style>
  <w:style w:type="paragraph" w:styleId="Bibliography">
    <w:name w:val="Bibliography"/>
    <w:basedOn w:val="Normal"/>
    <w:next w:val="Normal"/>
    <w:uiPriority w:val="37"/>
    <w:unhideWhenUsed/>
    <w:rsid w:val="001F3D77"/>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5911779">
      <w:bodyDiv w:val="1"/>
      <w:marLeft w:val="0"/>
      <w:marRight w:val="0"/>
      <w:marTop w:val="0"/>
      <w:marBottom w:val="0"/>
      <w:divBdr>
        <w:top w:val="none" w:sz="0" w:space="0" w:color="auto"/>
        <w:left w:val="none" w:sz="0" w:space="0" w:color="auto"/>
        <w:bottom w:val="none" w:sz="0" w:space="0" w:color="auto"/>
        <w:right w:val="none" w:sz="0" w:space="0" w:color="auto"/>
      </w:divBdr>
    </w:div>
    <w:div w:id="136728402">
      <w:bodyDiv w:val="1"/>
      <w:marLeft w:val="0"/>
      <w:marRight w:val="0"/>
      <w:marTop w:val="0"/>
      <w:marBottom w:val="0"/>
      <w:divBdr>
        <w:top w:val="none" w:sz="0" w:space="0" w:color="auto"/>
        <w:left w:val="none" w:sz="0" w:space="0" w:color="auto"/>
        <w:bottom w:val="none" w:sz="0" w:space="0" w:color="auto"/>
        <w:right w:val="none" w:sz="0" w:space="0" w:color="auto"/>
      </w:divBdr>
      <w:divsChild>
        <w:div w:id="115418226">
          <w:marLeft w:val="3240"/>
          <w:marRight w:val="0"/>
          <w:marTop w:val="100"/>
          <w:marBottom w:val="0"/>
          <w:divBdr>
            <w:top w:val="none" w:sz="0" w:space="0" w:color="auto"/>
            <w:left w:val="none" w:sz="0" w:space="0" w:color="auto"/>
            <w:bottom w:val="none" w:sz="0" w:space="0" w:color="auto"/>
            <w:right w:val="none" w:sz="0" w:space="0" w:color="auto"/>
          </w:divBdr>
        </w:div>
        <w:div w:id="422995832">
          <w:marLeft w:val="2520"/>
          <w:marRight w:val="0"/>
          <w:marTop w:val="100"/>
          <w:marBottom w:val="0"/>
          <w:divBdr>
            <w:top w:val="none" w:sz="0" w:space="0" w:color="auto"/>
            <w:left w:val="none" w:sz="0" w:space="0" w:color="auto"/>
            <w:bottom w:val="none" w:sz="0" w:space="0" w:color="auto"/>
            <w:right w:val="none" w:sz="0" w:space="0" w:color="auto"/>
          </w:divBdr>
        </w:div>
        <w:div w:id="610167602">
          <w:marLeft w:val="2520"/>
          <w:marRight w:val="0"/>
          <w:marTop w:val="100"/>
          <w:marBottom w:val="0"/>
          <w:divBdr>
            <w:top w:val="none" w:sz="0" w:space="0" w:color="auto"/>
            <w:left w:val="none" w:sz="0" w:space="0" w:color="auto"/>
            <w:bottom w:val="none" w:sz="0" w:space="0" w:color="auto"/>
            <w:right w:val="none" w:sz="0" w:space="0" w:color="auto"/>
          </w:divBdr>
        </w:div>
        <w:div w:id="656809303">
          <w:marLeft w:val="2520"/>
          <w:marRight w:val="0"/>
          <w:marTop w:val="100"/>
          <w:marBottom w:val="0"/>
          <w:divBdr>
            <w:top w:val="none" w:sz="0" w:space="0" w:color="auto"/>
            <w:left w:val="none" w:sz="0" w:space="0" w:color="auto"/>
            <w:bottom w:val="none" w:sz="0" w:space="0" w:color="auto"/>
            <w:right w:val="none" w:sz="0" w:space="0" w:color="auto"/>
          </w:divBdr>
        </w:div>
        <w:div w:id="695665703">
          <w:marLeft w:val="2520"/>
          <w:marRight w:val="0"/>
          <w:marTop w:val="100"/>
          <w:marBottom w:val="0"/>
          <w:divBdr>
            <w:top w:val="none" w:sz="0" w:space="0" w:color="auto"/>
            <w:left w:val="none" w:sz="0" w:space="0" w:color="auto"/>
            <w:bottom w:val="none" w:sz="0" w:space="0" w:color="auto"/>
            <w:right w:val="none" w:sz="0" w:space="0" w:color="auto"/>
          </w:divBdr>
        </w:div>
        <w:div w:id="995064793">
          <w:marLeft w:val="1800"/>
          <w:marRight w:val="0"/>
          <w:marTop w:val="100"/>
          <w:marBottom w:val="0"/>
          <w:divBdr>
            <w:top w:val="none" w:sz="0" w:space="0" w:color="auto"/>
            <w:left w:val="none" w:sz="0" w:space="0" w:color="auto"/>
            <w:bottom w:val="none" w:sz="0" w:space="0" w:color="auto"/>
            <w:right w:val="none" w:sz="0" w:space="0" w:color="auto"/>
          </w:divBdr>
        </w:div>
        <w:div w:id="1215117741">
          <w:marLeft w:val="3240"/>
          <w:marRight w:val="0"/>
          <w:marTop w:val="100"/>
          <w:marBottom w:val="0"/>
          <w:divBdr>
            <w:top w:val="none" w:sz="0" w:space="0" w:color="auto"/>
            <w:left w:val="none" w:sz="0" w:space="0" w:color="auto"/>
            <w:bottom w:val="none" w:sz="0" w:space="0" w:color="auto"/>
            <w:right w:val="none" w:sz="0" w:space="0" w:color="auto"/>
          </w:divBdr>
        </w:div>
        <w:div w:id="1230654810">
          <w:marLeft w:val="2520"/>
          <w:marRight w:val="0"/>
          <w:marTop w:val="100"/>
          <w:marBottom w:val="0"/>
          <w:divBdr>
            <w:top w:val="none" w:sz="0" w:space="0" w:color="auto"/>
            <w:left w:val="none" w:sz="0" w:space="0" w:color="auto"/>
            <w:bottom w:val="none" w:sz="0" w:space="0" w:color="auto"/>
            <w:right w:val="none" w:sz="0" w:space="0" w:color="auto"/>
          </w:divBdr>
        </w:div>
        <w:div w:id="1531605100">
          <w:marLeft w:val="3240"/>
          <w:marRight w:val="0"/>
          <w:marTop w:val="100"/>
          <w:marBottom w:val="0"/>
          <w:divBdr>
            <w:top w:val="none" w:sz="0" w:space="0" w:color="auto"/>
            <w:left w:val="none" w:sz="0" w:space="0" w:color="auto"/>
            <w:bottom w:val="none" w:sz="0" w:space="0" w:color="auto"/>
            <w:right w:val="none" w:sz="0" w:space="0" w:color="auto"/>
          </w:divBdr>
        </w:div>
        <w:div w:id="1637490362">
          <w:marLeft w:val="1800"/>
          <w:marRight w:val="0"/>
          <w:marTop w:val="100"/>
          <w:marBottom w:val="0"/>
          <w:divBdr>
            <w:top w:val="none" w:sz="0" w:space="0" w:color="auto"/>
            <w:left w:val="none" w:sz="0" w:space="0" w:color="auto"/>
            <w:bottom w:val="none" w:sz="0" w:space="0" w:color="auto"/>
            <w:right w:val="none" w:sz="0" w:space="0" w:color="auto"/>
          </w:divBdr>
        </w:div>
        <w:div w:id="1919166655">
          <w:marLeft w:val="2520"/>
          <w:marRight w:val="0"/>
          <w:marTop w:val="100"/>
          <w:marBottom w:val="0"/>
          <w:divBdr>
            <w:top w:val="none" w:sz="0" w:space="0" w:color="auto"/>
            <w:left w:val="none" w:sz="0" w:space="0" w:color="auto"/>
            <w:bottom w:val="none" w:sz="0" w:space="0" w:color="auto"/>
            <w:right w:val="none" w:sz="0" w:space="0" w:color="auto"/>
          </w:divBdr>
        </w:div>
      </w:divsChild>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610">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1563633">
      <w:bodyDiv w:val="1"/>
      <w:marLeft w:val="0"/>
      <w:marRight w:val="0"/>
      <w:marTop w:val="0"/>
      <w:marBottom w:val="0"/>
      <w:divBdr>
        <w:top w:val="none" w:sz="0" w:space="0" w:color="auto"/>
        <w:left w:val="none" w:sz="0" w:space="0" w:color="auto"/>
        <w:bottom w:val="none" w:sz="0" w:space="0" w:color="auto"/>
        <w:right w:val="none" w:sz="0" w:space="0" w:color="auto"/>
      </w:divBdr>
    </w:div>
    <w:div w:id="812523025">
      <w:bodyDiv w:val="1"/>
      <w:marLeft w:val="0"/>
      <w:marRight w:val="0"/>
      <w:marTop w:val="0"/>
      <w:marBottom w:val="0"/>
      <w:divBdr>
        <w:top w:val="none" w:sz="0" w:space="0" w:color="auto"/>
        <w:left w:val="none" w:sz="0" w:space="0" w:color="auto"/>
        <w:bottom w:val="none" w:sz="0" w:space="0" w:color="auto"/>
        <w:right w:val="none" w:sz="0" w:space="0" w:color="auto"/>
      </w:divBdr>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897858563">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55990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81291302">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26127791">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561794190">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07965821">
      <w:bodyDiv w:val="1"/>
      <w:marLeft w:val="0"/>
      <w:marRight w:val="0"/>
      <w:marTop w:val="0"/>
      <w:marBottom w:val="0"/>
      <w:divBdr>
        <w:top w:val="none" w:sz="0" w:space="0" w:color="auto"/>
        <w:left w:val="none" w:sz="0" w:space="0" w:color="auto"/>
        <w:bottom w:val="none" w:sz="0" w:space="0" w:color="auto"/>
        <w:right w:val="none" w:sz="0" w:space="0" w:color="auto"/>
      </w:divBdr>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36730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17AE900-87CF-4F4C-8A10-B771F932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3</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7225</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Mohammad ABDI ABYANEH</cp:lastModifiedBy>
  <cp:revision>5</cp:revision>
  <cp:lastPrinted>2010-01-07T02:23:00Z</cp:lastPrinted>
  <dcterms:created xsi:type="dcterms:W3CDTF">2023-02-06T09:15:00Z</dcterms:created>
  <dcterms:modified xsi:type="dcterms:W3CDTF">2023-02-17T17:49:00Z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(3)VjtF3JhQTnwwekTqtTmrzoYa9Xj3waav1aT5TCEeAvGYlbzOzzriAqxaxBzlgT4cqGj5HgXq
yI7sCMQO/ml8Twjg/FFpK2It8uiEn0kCl4iAxowX3oYJuHtuEiLxS+mC5kBvW4PL1f6OigeS
mP61h7TlQaMBRDGmXRiSr1ZnrTjxS+nkBLt+xs2imxn2Jl9mMYBf5Z2kjsti1YLkht6mUn2N
L3hkBjWmLwDPC1vaSr</vt:lpwstr>
  </property>
  <property fmtid="{D5CDD505-2E9C-101B-9397-08002B2CF9AE}" pid="3" name="_2015_ms_pID_725343_00">
    <vt:lpwstr>_2015_ms_pID_725343</vt:lpwstr>
  </property>
  <property fmtid="{D5CDD505-2E9C-101B-9397-08002B2CF9AE}" pid="4" name="_2015_ms_pID_7253431">
    <vt:lpwstr>J2k268oAElGztSZSz6WF6CmWsGxypvT/P8LODlmo+IUnvORzSwLnjo
UH/2QAHnlb/eZn9cKL/5MO4GLAvYQbSOqWm4Ig/UDJxo7vtxThIb+jIXfIb0kzfIQVn00rUw
wiIGww+4OBhMEgIK9X1j3MLSkIMRD21zjmL4kzJ/UsBWLXRKc2Rk7GEl/LwELSi80BQiaE48
VrVOq3jVnxh8BGTSYsheno1rc3OQKRMBgSrE</vt:lpwstr>
  </property>
  <property fmtid="{D5CDD505-2E9C-101B-9397-08002B2CF9AE}" pid="5" name="_2015_ms_pID_7253431_00">
    <vt:lpwstr>_2015_ms_pID_7253431</vt:lpwstr>
  </property>
  <property fmtid="{D5CDD505-2E9C-101B-9397-08002B2CF9AE}" pid="6" name="_2015_ms_pID_7253432">
    <vt:lpwstr>o4UnwE1qoQ3/0UtvsAaO7Ag8Sth5ZPEN2Faw
w81bkqpQwyCrKCto/MGylvvreE6XC/vXy1TanD/oqzI4FqPhBC4=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ZOTERO_PREF_1">
    <vt:lpwstr>&lt;data data-version="3" zotero-version="6.0.20"&gt;&lt;session id="HwHsEB4L"/&gt;&lt;style id="http://www.zotero.org/styles/ieee" locale="en-US" hasBibliography="1" bibliographyStyleHasBeenSet="1"/&gt;&lt;prefs&gt;&lt;pref name="fieldType" value="Field"/&gt;&lt;pref name="automaticJour</vt:lpwstr>
  </property>
  <property fmtid="{D5CDD505-2E9C-101B-9397-08002B2CF9AE}" pid="13" name="ZOTERO_PREF_2">
    <vt:lpwstr>nalAbbreviations" value="true"/&gt;&lt;/prefs&gt;&lt;/data&gt;</vt:lpwstr>
  </property>
</Properties>
</file>